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8D3E" w14:textId="6235BEA1" w:rsidR="00291549" w:rsidRPr="00AD3F54" w:rsidRDefault="00291549" w:rsidP="00291549">
      <w:pPr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XLVII/</w:t>
      </w:r>
      <w:r w:rsidR="00CB1E90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="00D53483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/2023</w:t>
      </w:r>
      <w:r w:rsidRPr="00AD3F5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279C714C" w14:textId="77777777" w:rsidR="00291549" w:rsidRPr="00AD3F54" w:rsidRDefault="00291549" w:rsidP="0029154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57DE3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czerwca 2023</w:t>
      </w:r>
      <w:r w:rsidRPr="00AD3F54">
        <w:rPr>
          <w:rFonts w:ascii="Times New Roman" w:eastAsia="Times New Roman" w:hAnsi="Times New Roman" w:cs="Times New Roman"/>
          <w:lang w:eastAsia="pl-PL"/>
        </w:rPr>
        <w:t> r.</w:t>
      </w:r>
    </w:p>
    <w:p w14:paraId="37B32822" w14:textId="77777777" w:rsidR="00291549" w:rsidRPr="00AD3F54" w:rsidRDefault="00291549" w:rsidP="0029154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>w sprawie zmian</w:t>
      </w:r>
      <w:r>
        <w:rPr>
          <w:rFonts w:ascii="Times New Roman" w:eastAsia="Times New Roman" w:hAnsi="Times New Roman" w:cs="Times New Roman"/>
          <w:b/>
          <w:bCs/>
          <w:lang w:eastAsia="pl-PL"/>
        </w:rPr>
        <w:t>y uchwały budżetowej na rok 2023</w:t>
      </w:r>
    </w:p>
    <w:p w14:paraId="6F176AAE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>Na podstawie art. 18 ust. 2 pkt 4, pkt 9 lit. d oraz pkt 10, art.69 ust. 3 i art. 73a ustawy z dnia 8 marca 1990 roku o samorz</w:t>
      </w:r>
      <w:r w:rsidR="00435D40">
        <w:rPr>
          <w:rFonts w:eastAsia="Times New Roman" w:cstheme="minorHAnsi"/>
          <w:lang w:eastAsia="pl-PL"/>
        </w:rPr>
        <w:t>ądzie gminnym (t.j. Dz.U. z 2023</w:t>
      </w:r>
      <w:r w:rsidRPr="00F845D3">
        <w:rPr>
          <w:rFonts w:eastAsia="Times New Roman" w:cstheme="minorHAnsi"/>
          <w:lang w:eastAsia="pl-PL"/>
        </w:rPr>
        <w:t xml:space="preserve"> r. poz</w:t>
      </w:r>
      <w:r w:rsidR="00435D40">
        <w:rPr>
          <w:rFonts w:eastAsia="Times New Roman" w:cstheme="minorHAnsi"/>
          <w:lang w:eastAsia="pl-PL"/>
        </w:rPr>
        <w:t>. 40</w:t>
      </w:r>
      <w:r w:rsidRPr="00F845D3">
        <w:rPr>
          <w:rFonts w:eastAsia="Times New Roman" w:cstheme="minorHAnsi"/>
          <w:lang w:eastAsia="pl-PL"/>
        </w:rPr>
        <w:t> ze zm.), art. 212, 222, 258 i 264 ust.3 ustawy z dnia 27 sierpnia 2009 roku o finansac</w:t>
      </w:r>
      <w:r w:rsidR="00435D40">
        <w:rPr>
          <w:rFonts w:eastAsia="Times New Roman" w:cstheme="minorHAnsi"/>
          <w:lang w:eastAsia="pl-PL"/>
        </w:rPr>
        <w:t>h publicznych (t.j. Dz.U. z 2022 r. poz. 1634</w:t>
      </w:r>
      <w:r w:rsidRPr="00F845D3">
        <w:rPr>
          <w:rFonts w:eastAsia="Times New Roman" w:cstheme="minorHAnsi"/>
          <w:lang w:eastAsia="pl-PL"/>
        </w:rPr>
        <w:t xml:space="preserve"> ze zm.), Zgromadzenie Związku Międzygminnego "Komunalny Związek Gmin Regionu Leszczyńskiego" uchwala, co następuje:</w:t>
      </w:r>
    </w:p>
    <w:p w14:paraId="7064763E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>§ 1. </w:t>
      </w:r>
      <w:r w:rsidRPr="00F845D3">
        <w:rPr>
          <w:rFonts w:eastAsia="Times New Roman" w:cstheme="minorHAnsi"/>
          <w:lang w:eastAsia="pl-PL"/>
        </w:rPr>
        <w:t>W budżecie Komunalnego Związku Gmin Re</w:t>
      </w:r>
      <w:r w:rsidR="00435D40">
        <w:rPr>
          <w:rFonts w:eastAsia="Times New Roman" w:cstheme="minorHAnsi"/>
          <w:lang w:eastAsia="pl-PL"/>
        </w:rPr>
        <w:t>gionu Leszczyńskiego na rok 2023</w:t>
      </w:r>
      <w:r w:rsidRPr="00F845D3">
        <w:rPr>
          <w:rFonts w:eastAsia="Times New Roman" w:cstheme="minorHAnsi"/>
          <w:lang w:eastAsia="pl-PL"/>
        </w:rPr>
        <w:t> przyjętym uchwałą Nr XL</w:t>
      </w:r>
      <w:r w:rsidR="00435D40">
        <w:rPr>
          <w:rFonts w:eastAsia="Times New Roman" w:cstheme="minorHAnsi"/>
          <w:lang w:eastAsia="pl-PL"/>
        </w:rPr>
        <w:t>VI/4/2022</w:t>
      </w:r>
      <w:r w:rsidRPr="00F845D3">
        <w:rPr>
          <w:rFonts w:eastAsia="Times New Roman" w:cstheme="minorHAnsi"/>
          <w:lang w:eastAsia="pl-PL"/>
        </w:rPr>
        <w:t xml:space="preserve"> Zgromadzenia Związku Międzygminnego Komunalny Związek Gmin Regionu Leszczyńskiego z dnia </w:t>
      </w:r>
      <w:r w:rsidR="00435D40">
        <w:rPr>
          <w:rFonts w:eastAsia="Times New Roman" w:cstheme="minorHAnsi"/>
          <w:lang w:eastAsia="pl-PL"/>
        </w:rPr>
        <w:t>14 grudnia 2022</w:t>
      </w:r>
      <w:r w:rsidRPr="00F845D3">
        <w:rPr>
          <w:rFonts w:eastAsia="Times New Roman" w:cstheme="minorHAnsi"/>
          <w:lang w:eastAsia="pl-PL"/>
        </w:rPr>
        <w:t> r. wprowadza się następujące zmiany:</w:t>
      </w:r>
    </w:p>
    <w:p w14:paraId="59190B0E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291549" w:rsidRPr="00F845D3" w14:paraId="446C999E" w14:textId="77777777" w:rsidTr="0029154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EC88" w14:textId="77777777" w:rsidR="00291549" w:rsidRPr="00F845D3" w:rsidRDefault="00291549" w:rsidP="00291549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"§1. Ustala się łączną kwotę dochodów budżetu w wysokości </w:t>
            </w:r>
            <w:r w:rsidR="000225FF">
              <w:rPr>
                <w:rFonts w:asciiTheme="minorHAnsi" w:hAnsiTheme="minorHAnsi" w:cstheme="minorHAnsi"/>
                <w:sz w:val="22"/>
                <w:szCs w:val="22"/>
              </w:rPr>
              <w:t>89.182.0</w:t>
            </w:r>
            <w:r w:rsidR="00DE2888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zł, z tego:</w:t>
            </w:r>
          </w:p>
          <w:p w14:paraId="4D83EC15" w14:textId="77777777" w:rsidR="00291549" w:rsidRPr="00F845D3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dochody bieżące w kwocie </w:t>
            </w:r>
            <w:r w:rsidR="000225FF">
              <w:rPr>
                <w:rFonts w:asciiTheme="minorHAnsi" w:hAnsiTheme="minorHAnsi" w:cstheme="minorHAnsi"/>
                <w:sz w:val="22"/>
                <w:szCs w:val="22"/>
              </w:rPr>
              <w:t>89.092.000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5904B0D4" w14:textId="77777777" w:rsidR="00291549" w:rsidRPr="00F845D3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dochody majątkowe </w:t>
            </w:r>
            <w:r w:rsidR="000225FF">
              <w:rPr>
                <w:rFonts w:asciiTheme="minorHAnsi" w:hAnsiTheme="minorHAnsi" w:cstheme="minorHAnsi"/>
                <w:sz w:val="22"/>
                <w:szCs w:val="22"/>
              </w:rPr>
              <w:t>90.00</w:t>
            </w:r>
            <w:r w:rsidR="00DE288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  <w:p w14:paraId="24008EA2" w14:textId="77777777" w:rsidR="00291549" w:rsidRPr="00F845D3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>jak w załączniku nr 1 do uchwały".</w:t>
            </w:r>
          </w:p>
        </w:tc>
      </w:tr>
    </w:tbl>
    <w:p w14:paraId="154E2827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291549" w:rsidRPr="00F845D3" w14:paraId="1965538D" w14:textId="77777777" w:rsidTr="00DE2888">
        <w:trPr>
          <w:trHeight w:val="1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2D44" w14:textId="77777777" w:rsidR="00291549" w:rsidRPr="00F845D3" w:rsidRDefault="00291549" w:rsidP="00291549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"§2. Ustala się łączną kwotę wydatków budżetu w wysokości </w:t>
            </w:r>
            <w:r w:rsidR="000225FF">
              <w:rPr>
                <w:rFonts w:asciiTheme="minorHAnsi" w:hAnsiTheme="minorHAnsi" w:cstheme="minorHAnsi"/>
                <w:sz w:val="22"/>
                <w:szCs w:val="22"/>
              </w:rPr>
              <w:t>89.182</w:t>
            </w:r>
            <w:r w:rsidR="00DE2888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zł, z tego:</w:t>
            </w:r>
          </w:p>
          <w:p w14:paraId="7B408661" w14:textId="77777777" w:rsidR="00291549" w:rsidRPr="00F845D3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wydatki bieżące w kwocie </w:t>
            </w:r>
            <w:r w:rsidR="00DE2888">
              <w:rPr>
                <w:rFonts w:asciiTheme="minorHAnsi" w:hAnsiTheme="minorHAnsi" w:cstheme="minorHAnsi"/>
                <w:sz w:val="22"/>
                <w:szCs w:val="22"/>
              </w:rPr>
              <w:t>88.</w:t>
            </w:r>
            <w:r w:rsidR="000225FF">
              <w:rPr>
                <w:rFonts w:asciiTheme="minorHAnsi" w:hAnsiTheme="minorHAnsi" w:cstheme="minorHAnsi"/>
                <w:sz w:val="22"/>
                <w:szCs w:val="22"/>
              </w:rPr>
              <w:t>772</w:t>
            </w:r>
            <w:r w:rsidR="00DE2888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5704107" w14:textId="77777777" w:rsidR="00291549" w:rsidRPr="00F845D3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wydatki majątkowe </w:t>
            </w:r>
            <w:r w:rsidR="000225F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="00DE2888">
              <w:rPr>
                <w:rFonts w:asciiTheme="minorHAnsi" w:hAnsiTheme="minorHAnsi" w:cstheme="minorHAnsi"/>
                <w:sz w:val="22"/>
                <w:szCs w:val="22"/>
              </w:rPr>
              <w:t>0.000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  <w:p w14:paraId="6E7BAB3E" w14:textId="77777777" w:rsidR="00291549" w:rsidRPr="00F845D3" w:rsidRDefault="00291549" w:rsidP="00DE2888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>jak w załączniku nr 2 do uchwały".</w:t>
            </w:r>
          </w:p>
        </w:tc>
      </w:tr>
    </w:tbl>
    <w:p w14:paraId="5F42FC99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>§ 2. </w:t>
      </w:r>
      <w:r w:rsidRPr="00F845D3">
        <w:rPr>
          <w:rFonts w:eastAsia="Times New Roman" w:cstheme="minorHAnsi"/>
          <w:lang w:eastAsia="pl-PL"/>
        </w:rPr>
        <w:t>1. Załącznik Nr 1 do uchwały Nr XL</w:t>
      </w:r>
      <w:r w:rsidR="00DE2888">
        <w:rPr>
          <w:rFonts w:eastAsia="Times New Roman" w:cstheme="minorHAnsi"/>
          <w:lang w:eastAsia="pl-PL"/>
        </w:rPr>
        <w:t>VI/4/2022</w:t>
      </w:r>
      <w:r w:rsidRPr="00F845D3">
        <w:rPr>
          <w:rFonts w:eastAsia="Times New Roman" w:cstheme="minorHAnsi"/>
          <w:lang w:eastAsia="pl-PL"/>
        </w:rPr>
        <w:t xml:space="preserve"> Zgromadzenia Związku Międzygminnego "Komunalny Związek Gmin Regionu Leszczyńskiego" z dnia </w:t>
      </w:r>
      <w:r w:rsidR="00DE2888">
        <w:rPr>
          <w:rFonts w:eastAsia="Times New Roman" w:cstheme="minorHAnsi"/>
          <w:lang w:eastAsia="pl-PL"/>
        </w:rPr>
        <w:t>14 grudnia 2022</w:t>
      </w:r>
      <w:r w:rsidRPr="00F845D3">
        <w:rPr>
          <w:rFonts w:eastAsia="Times New Roman" w:cstheme="minorHAnsi"/>
          <w:lang w:eastAsia="pl-PL"/>
        </w:rPr>
        <w:t xml:space="preserve"> r. otrzymuje brzmienie zgodnie z załącznikiem nr 1 do niniejszej uchwały.</w:t>
      </w:r>
    </w:p>
    <w:p w14:paraId="27E15226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>2. Załącznik Nr 2 do uchwały Nr XL</w:t>
      </w:r>
      <w:r w:rsidR="00DE2888">
        <w:rPr>
          <w:rFonts w:eastAsia="Times New Roman" w:cstheme="minorHAnsi"/>
          <w:lang w:eastAsia="pl-PL"/>
        </w:rPr>
        <w:t>VI/4/2022</w:t>
      </w:r>
      <w:r w:rsidRPr="00F845D3">
        <w:rPr>
          <w:rFonts w:eastAsia="Times New Roman" w:cstheme="minorHAnsi"/>
          <w:lang w:eastAsia="pl-PL"/>
        </w:rPr>
        <w:t xml:space="preserve"> Zgromadzenia Związku Międzygminnego "Komunalny Związek Gmin Regionu Leszczyńskiego" z dnia </w:t>
      </w:r>
      <w:r w:rsidR="00DE2888">
        <w:rPr>
          <w:rFonts w:eastAsia="Times New Roman" w:cstheme="minorHAnsi"/>
          <w:lang w:eastAsia="pl-PL"/>
        </w:rPr>
        <w:t>14</w:t>
      </w:r>
      <w:r w:rsidRPr="00F845D3">
        <w:rPr>
          <w:rFonts w:eastAsia="Times New Roman" w:cstheme="minorHAnsi"/>
          <w:lang w:eastAsia="pl-PL"/>
        </w:rPr>
        <w:t> grudnia 202</w:t>
      </w:r>
      <w:r w:rsidR="00DE2888">
        <w:rPr>
          <w:rFonts w:eastAsia="Times New Roman" w:cstheme="minorHAnsi"/>
          <w:lang w:eastAsia="pl-PL"/>
        </w:rPr>
        <w:t>2</w:t>
      </w:r>
      <w:r w:rsidRPr="00F845D3">
        <w:rPr>
          <w:rFonts w:eastAsia="Times New Roman" w:cstheme="minorHAnsi"/>
          <w:lang w:eastAsia="pl-PL"/>
        </w:rPr>
        <w:t xml:space="preserve"> r. otrzymuje brzmienie zgodnie z załącznikiem nr 2 do niniejszej uchwały.</w:t>
      </w:r>
    </w:p>
    <w:p w14:paraId="0A194A1C" w14:textId="77777777" w:rsidR="00291549" w:rsidRPr="00F845D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 xml:space="preserve">§ 3. </w:t>
      </w:r>
      <w:r w:rsidRPr="00F845D3">
        <w:rPr>
          <w:rFonts w:eastAsia="Times New Roman" w:cstheme="minorHAnsi"/>
          <w:lang w:eastAsia="pl-PL"/>
        </w:rPr>
        <w:t>Wykonanie uchwały powierza się Zarządowi Związku Międzygminnego "Komunalny Związek Gmin Regionu Leszczyńskiego".</w:t>
      </w:r>
    </w:p>
    <w:p w14:paraId="4CCA5F93" w14:textId="47EBF9AE" w:rsidR="00B05B8D" w:rsidRDefault="00291549" w:rsidP="00B05B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>§ 4.</w:t>
      </w:r>
      <w:r w:rsidRPr="00F845D3">
        <w:rPr>
          <w:rFonts w:eastAsia="Times New Roman" w:cstheme="minorHAnsi"/>
          <w:lang w:eastAsia="pl-PL"/>
        </w:rPr>
        <w:t xml:space="preserve"> Uchwała wchodzi w życie z dniem podjęcia.</w:t>
      </w:r>
    </w:p>
    <w:p w14:paraId="100C2184" w14:textId="61FD4845" w:rsidR="00B05B8D" w:rsidRPr="00B05B8D" w:rsidRDefault="00B05B8D" w:rsidP="00B05B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cstheme="minorHAnsi"/>
          <w:b/>
        </w:rPr>
      </w:pPr>
      <w:r w:rsidRPr="00B05B8D">
        <w:rPr>
          <w:rFonts w:cstheme="minorHAnsi"/>
          <w:b/>
        </w:rPr>
        <w:t xml:space="preserve"> PRZEWODNICZĄCY  ZGROMADZENIA ZWIĄZKU MIĘDZYGMINNEGO</w:t>
      </w:r>
    </w:p>
    <w:p w14:paraId="3C6E7642" w14:textId="77777777" w:rsidR="00B05B8D" w:rsidRPr="00B05B8D" w:rsidRDefault="00B05B8D" w:rsidP="00B05B8D">
      <w:pPr>
        <w:spacing w:after="0" w:line="240" w:lineRule="auto"/>
        <w:jc w:val="right"/>
        <w:rPr>
          <w:rFonts w:cstheme="minorHAnsi"/>
          <w:b/>
        </w:rPr>
      </w:pPr>
      <w:r w:rsidRPr="00B05B8D">
        <w:rPr>
          <w:rFonts w:cstheme="minorHAnsi"/>
          <w:b/>
        </w:rPr>
        <w:t>„KOMUNALNY ZWIĄZEK GMIN REGIONU LESZCZYŃSKIEGO”</w:t>
      </w:r>
    </w:p>
    <w:p w14:paraId="74BB8961" w14:textId="77777777" w:rsidR="00B05B8D" w:rsidRPr="00B05B8D" w:rsidRDefault="00B05B8D" w:rsidP="00B05B8D">
      <w:pPr>
        <w:spacing w:after="0" w:line="240" w:lineRule="auto"/>
        <w:jc w:val="right"/>
        <w:rPr>
          <w:rFonts w:cstheme="minorHAnsi"/>
          <w:b/>
        </w:rPr>
      </w:pPr>
    </w:p>
    <w:p w14:paraId="59925269" w14:textId="77777777" w:rsidR="00B05B8D" w:rsidRPr="00B05B8D" w:rsidRDefault="00B05B8D" w:rsidP="00B05B8D">
      <w:pPr>
        <w:spacing w:after="0" w:line="240" w:lineRule="auto"/>
        <w:jc w:val="right"/>
        <w:rPr>
          <w:rFonts w:cstheme="minorHAnsi"/>
          <w:b/>
        </w:rPr>
      </w:pPr>
    </w:p>
    <w:p w14:paraId="5D706FDE" w14:textId="77777777" w:rsidR="00B05B8D" w:rsidRPr="00B05B8D" w:rsidRDefault="00B05B8D" w:rsidP="00B05B8D">
      <w:pPr>
        <w:spacing w:after="0" w:line="240" w:lineRule="auto"/>
        <w:jc w:val="right"/>
        <w:rPr>
          <w:rFonts w:cstheme="minorHAnsi"/>
          <w:b/>
        </w:rPr>
      </w:pPr>
      <w:r w:rsidRPr="00B05B8D">
        <w:rPr>
          <w:rFonts w:cstheme="minorHAnsi"/>
          <w:b/>
        </w:rPr>
        <w:t>/-/ Piotr Curyk</w:t>
      </w:r>
    </w:p>
    <w:p w14:paraId="40B2E943" w14:textId="3D807CCD" w:rsidR="00291549" w:rsidRPr="00F845D3" w:rsidRDefault="00291549" w:rsidP="00291549">
      <w:pPr>
        <w:rPr>
          <w:rFonts w:eastAsia="Times New Roman" w:cstheme="minorHAnsi"/>
          <w:lang w:eastAsia="pl-PL"/>
        </w:rPr>
      </w:pPr>
    </w:p>
    <w:p w14:paraId="2AAB9099" w14:textId="02E827FD" w:rsidR="00291549" w:rsidRPr="007B1FB5" w:rsidRDefault="00291549" w:rsidP="00291549">
      <w:pPr>
        <w:keepNext/>
        <w:spacing w:after="480"/>
        <w:ind w:left="2832"/>
        <w:jc w:val="both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>Załącznik nr 1 do uchwały Nr X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LVI/4/2022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4 grudnia 2022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gionu Leszczyńskiego na rok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w brzmieniu nadanym w załączniku nr 1 do uchwały nr XL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V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II/</w:t>
      </w:r>
      <w:r w:rsidR="00CB1E90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3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14 czerwca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n Regionu Leszczyńskiego na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</w:t>
      </w:r>
    </w:p>
    <w:p w14:paraId="12D70E95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dochodów 202</w:t>
      </w:r>
      <w:r w:rsidR="00DE28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3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p w14:paraId="5F572B2A" w14:textId="77777777" w:rsidR="00F1081A" w:rsidRDefault="00F1081A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59"/>
        <w:gridCol w:w="773"/>
        <w:gridCol w:w="4022"/>
        <w:gridCol w:w="952"/>
        <w:gridCol w:w="860"/>
        <w:gridCol w:w="952"/>
      </w:tblGrid>
      <w:tr w:rsidR="00F1081A" w:rsidRPr="00F1081A" w14:paraId="2E60A450" w14:textId="77777777" w:rsidTr="00F1081A">
        <w:trPr>
          <w:trHeight w:val="495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DD93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18C9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9C54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1D08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7F91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2023              przed zmianą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B857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B334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2023 po zmianie</w:t>
            </w:r>
          </w:p>
        </w:tc>
      </w:tr>
      <w:tr w:rsidR="00F1081A" w:rsidRPr="00F1081A" w14:paraId="16D86ECA" w14:textId="77777777" w:rsidTr="00F1081A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C8C6369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0CE7E86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CD8AA2E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F0575D6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7F86656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310 000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61EC6E37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690 000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464D198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1 000 000</w:t>
            </w:r>
          </w:p>
        </w:tc>
      </w:tr>
      <w:tr w:rsidR="00F1081A" w:rsidRPr="00F1081A" w14:paraId="53695E61" w14:textId="77777777" w:rsidTr="00F1081A">
        <w:trPr>
          <w:trHeight w:val="315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F7B4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27117056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630F52B4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5DE4BDD2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2B5319D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2E137DA3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690 000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3CC7ADF5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</w:tr>
      <w:tr w:rsidR="00F1081A" w:rsidRPr="00F1081A" w14:paraId="3FD81592" w14:textId="77777777" w:rsidTr="00F1081A">
        <w:trPr>
          <w:trHeight w:val="315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688EE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D632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1DCC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E8A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 pozostałych odsetek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752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57098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690 000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7B17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</w:tr>
      <w:tr w:rsidR="00F1081A" w:rsidRPr="00F1081A" w14:paraId="0F7CBBA4" w14:textId="77777777" w:rsidTr="00F1081A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5150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4AA4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7AF3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A26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395D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66A5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BB2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F1081A" w:rsidRPr="00F1081A" w14:paraId="312B4EF4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73395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2AD07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4AD7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690 000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FE32E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</w:tr>
      <w:tr w:rsidR="00F1081A" w:rsidRPr="00F1081A" w14:paraId="3D325C90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0A833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1AA43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77E0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944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F1081A" w:rsidRPr="00F1081A" w14:paraId="42F53FE9" w14:textId="77777777" w:rsidTr="00F1081A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CD30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9236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1169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C348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8EB3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584C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2B54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F1081A" w:rsidRPr="00F1081A" w14:paraId="20F68E93" w14:textId="77777777" w:rsidTr="00F1081A">
        <w:trPr>
          <w:trHeight w:val="509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5A19400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2B7B358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C680DA9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EE0EC4D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5D632F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87 838 000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AA414"/>
            <w:noWrap/>
            <w:vAlign w:val="center"/>
            <w:hideMark/>
          </w:tcPr>
          <w:p w14:paraId="256F1F21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344 000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309FB3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88 182 000</w:t>
            </w:r>
          </w:p>
        </w:tc>
      </w:tr>
      <w:tr w:rsidR="00F1081A" w:rsidRPr="00F1081A" w14:paraId="5C9F1081" w14:textId="77777777" w:rsidTr="00F1081A">
        <w:trPr>
          <w:trHeight w:val="509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855F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7109D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54B1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E5DB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4F25B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9240D6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E18EC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1081A" w:rsidRPr="00F1081A" w14:paraId="63527F67" w14:textId="77777777" w:rsidTr="00F1081A">
        <w:trPr>
          <w:trHeight w:val="315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90359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512490B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989116C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A6E41B0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52DAD487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87 823 900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14:paraId="301825D9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63 900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2970B167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87 887 800</w:t>
            </w:r>
          </w:p>
        </w:tc>
      </w:tr>
      <w:tr w:rsidR="00F1081A" w:rsidRPr="00F1081A" w14:paraId="48072BAB" w14:textId="77777777" w:rsidTr="00F1081A">
        <w:trPr>
          <w:trHeight w:val="780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E7B1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180B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82D0B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4F10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D1A5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87 183 900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6594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D946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87 183 900</w:t>
            </w:r>
          </w:p>
        </w:tc>
      </w:tr>
      <w:tr w:rsidR="00F1081A" w:rsidRPr="00F1081A" w14:paraId="4749F5A4" w14:textId="77777777" w:rsidTr="00F1081A">
        <w:trPr>
          <w:trHeight w:val="73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325C6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6CF0ED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37F53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87B14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85B5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499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1C9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</w:tr>
      <w:tr w:rsidR="00F1081A" w:rsidRPr="00F1081A" w14:paraId="71D52BE9" w14:textId="77777777" w:rsidTr="00F1081A">
        <w:trPr>
          <w:trHeight w:val="503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15DEE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5D6CFE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3E17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9CED3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3FA8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E30E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4D74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240 000</w:t>
            </w:r>
          </w:p>
        </w:tc>
      </w:tr>
      <w:tr w:rsidR="00F1081A" w:rsidRPr="00F1081A" w14:paraId="19594A2C" w14:textId="77777777" w:rsidTr="00F1081A">
        <w:trPr>
          <w:trHeight w:val="49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28282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556840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53D8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2ADC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05E6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34E6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4E6B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</w:tr>
      <w:tr w:rsidR="00F1081A" w:rsidRPr="00F1081A" w14:paraId="14D43149" w14:textId="77777777" w:rsidTr="00F1081A">
        <w:trPr>
          <w:trHeight w:val="349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F31A9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A0D24C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08666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A43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02B4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560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616B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</w:tr>
      <w:tr w:rsidR="00F1081A" w:rsidRPr="00F1081A" w14:paraId="7E0DCEE2" w14:textId="77777777" w:rsidTr="00F1081A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36C6D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136034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4CC2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8C3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D65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E3C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3 900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77CD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10 900</w:t>
            </w:r>
          </w:p>
        </w:tc>
      </w:tr>
      <w:tr w:rsidR="00F1081A" w:rsidRPr="00F1081A" w14:paraId="2DDE408E" w14:textId="77777777" w:rsidTr="00F1081A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6A504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49B58077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530E325E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2AF1185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713FFF31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3F2DFFE0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280 100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2BDFEA1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294 200</w:t>
            </w:r>
          </w:p>
        </w:tc>
      </w:tr>
      <w:tr w:rsidR="00F1081A" w:rsidRPr="00F1081A" w14:paraId="1F62CAA6" w14:textId="77777777" w:rsidTr="00F1081A">
        <w:trPr>
          <w:trHeight w:val="49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F47CD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2507F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E70DD9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2563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Wpływy z tytułu grzywien, mandatów i innych kar pieniężnych od osób fizycznych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5FB7D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ADD0E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46711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</w:tr>
      <w:tr w:rsidR="00F1081A" w:rsidRPr="00F1081A" w14:paraId="1B174B34" w14:textId="77777777" w:rsidTr="00F1081A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5031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5744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BCF72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20C99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A2EA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7CE481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572446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9 540</w:t>
            </w:r>
          </w:p>
        </w:tc>
      </w:tr>
      <w:tr w:rsidR="00F1081A" w:rsidRPr="00F1081A" w14:paraId="24F4415A" w14:textId="77777777" w:rsidTr="00F1081A">
        <w:trPr>
          <w:trHeight w:val="49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CBF16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BADD8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9252A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931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13EE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4FE0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29F9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9 570</w:t>
            </w:r>
          </w:p>
        </w:tc>
      </w:tr>
      <w:tr w:rsidR="00F1081A" w:rsidRPr="00F1081A" w14:paraId="699D1ADA" w14:textId="77777777" w:rsidTr="00F1081A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BD1F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DA61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996C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AA6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5B3C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F0D4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BB5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14 100</w:t>
            </w:r>
          </w:p>
        </w:tc>
      </w:tr>
      <w:tr w:rsidR="00F1081A" w:rsidRPr="00F1081A" w14:paraId="68BEB200" w14:textId="77777777" w:rsidTr="00F1081A">
        <w:trPr>
          <w:trHeight w:val="1032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C1A40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E929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908D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5614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037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1A5E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169 990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40B8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169 990</w:t>
            </w:r>
          </w:p>
        </w:tc>
      </w:tr>
      <w:tr w:rsidR="00F1081A" w:rsidRPr="00F1081A" w14:paraId="2B43C221" w14:textId="77777777" w:rsidTr="00F1081A">
        <w:trPr>
          <w:trHeight w:val="1140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F9E10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FB384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916A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6DC5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0E560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604E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4E4C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</w:tr>
      <w:tr w:rsidR="00F1081A" w:rsidRPr="00F1081A" w14:paraId="38211DA5" w14:textId="77777777" w:rsidTr="00F1081A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440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AAC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F6F3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B3E0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BEC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485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63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F1081A" w:rsidRPr="00F1081A" w14:paraId="505099FF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7B039A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621C8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87 838 000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AD2A5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254 000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FC760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88 092 000</w:t>
            </w:r>
          </w:p>
        </w:tc>
      </w:tr>
      <w:tr w:rsidR="00F1081A" w:rsidRPr="00F1081A" w14:paraId="126DC299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0A999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23E1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84BA6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022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</w:tr>
      <w:tr w:rsidR="00F1081A" w:rsidRPr="00F1081A" w14:paraId="58C3FFD3" w14:textId="77777777" w:rsidTr="00F1081A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1EC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9A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D2E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51B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5F58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60FA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1E8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F1081A" w:rsidRPr="00F1081A" w14:paraId="7748D9F2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723A393C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3EB2AF1A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88 148 000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67F45F78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1 034 000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24FF756F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89 182 000</w:t>
            </w:r>
          </w:p>
        </w:tc>
      </w:tr>
      <w:tr w:rsidR="00F1081A" w:rsidRPr="00F1081A" w14:paraId="679986DB" w14:textId="77777777" w:rsidTr="00F1081A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02B7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C3E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BE1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C8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6DC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18C1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DFF" w14:textId="77777777" w:rsidR="00F1081A" w:rsidRPr="00F1081A" w:rsidRDefault="00F1081A" w:rsidP="00F108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F1081A" w:rsidRPr="00F1081A" w14:paraId="217873EB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7ABF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C962D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88 148 000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1D4E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944 000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314F9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89 092 000</w:t>
            </w:r>
          </w:p>
        </w:tc>
      </w:tr>
      <w:tr w:rsidR="00F1081A" w:rsidRPr="00F1081A" w14:paraId="51B92A16" w14:textId="77777777" w:rsidTr="00F1081A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C1BC" w14:textId="77777777" w:rsidR="00F1081A" w:rsidRPr="00F1081A" w:rsidRDefault="00F1081A" w:rsidP="00F1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C0817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1612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A7D3" w14:textId="77777777" w:rsidR="00F1081A" w:rsidRPr="00F1081A" w:rsidRDefault="00F1081A" w:rsidP="00F1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08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</w:tr>
    </w:tbl>
    <w:p w14:paraId="47905F24" w14:textId="77777777" w:rsidR="00F1081A" w:rsidRDefault="00F1081A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89EB70E" w14:textId="77777777" w:rsidR="008E1EDB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14:paraId="4BE158CB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F18533E" w14:textId="77777777" w:rsidR="008E1EDB" w:rsidRDefault="008E1EDB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33E2FCB" w14:textId="77777777" w:rsidR="008E1EDB" w:rsidRDefault="008E1EDB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3BC300E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58C2A21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D3928CB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4DEC51F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13CF3C8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A60F800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517089F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FB26F75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B6AE87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F642A84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0BFE058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C0E7A5D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2793F4B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07DDD5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7A02153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52B672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D203F1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9206676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B079D4D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E2A640B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B4CE85E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07B270F" w14:textId="77777777" w:rsidR="00291549" w:rsidRDefault="00291549" w:rsidP="00291549">
      <w:r>
        <w:br w:type="page"/>
      </w:r>
    </w:p>
    <w:p w14:paraId="5F9613CF" w14:textId="473FDFBB" w:rsidR="00DE2888" w:rsidRDefault="00DE2888" w:rsidP="0029154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 xml:space="preserve">Załącznik nr 2 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do uchwały Nr X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LVI/4/2022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4 grudnia 2022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gionu Leszczyńskiego na rok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w brzmieniu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nadanym w załączniku nr 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do uchwały nr XL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VII/</w:t>
      </w:r>
      <w:r w:rsidR="00CB1E90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3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14 czerwca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n Regionu Leszczyńskiego na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.</w:t>
      </w:r>
    </w:p>
    <w:p w14:paraId="1B82D03B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wydatków 202</w:t>
      </w:r>
      <w:r w:rsidR="00DE28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3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755"/>
        <w:gridCol w:w="768"/>
        <w:gridCol w:w="4155"/>
        <w:gridCol w:w="946"/>
        <w:gridCol w:w="855"/>
        <w:gridCol w:w="946"/>
      </w:tblGrid>
      <w:tr w:rsidR="008E1EDB" w:rsidRPr="008E1EDB" w14:paraId="04CB6F30" w14:textId="77777777" w:rsidTr="008E1EDB">
        <w:trPr>
          <w:trHeight w:val="495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2DB8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ADDC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855E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6D0B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2F9C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2023 przed zmianą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742C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A99A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2023 po zmianie</w:t>
            </w:r>
          </w:p>
        </w:tc>
      </w:tr>
      <w:tr w:rsidR="008E1EDB" w:rsidRPr="008E1EDB" w14:paraId="302CA236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B7529AE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8CCB641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0789E6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E609CA5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B6642A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D16E86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2DF00C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8E1EDB" w:rsidRPr="008E1EDB" w14:paraId="79F4F54F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7D100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2F9CF9B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49E48A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755CBE4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17BBD8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3229366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07D821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8E1EDB" w:rsidRPr="008E1EDB" w14:paraId="213823FD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DE0C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401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6726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05A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CFC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CBFB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5D1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8E1EDB" w:rsidRPr="008E1EDB" w14:paraId="1A49A882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5D75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2FBFD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F260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391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4C7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64C5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B6D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EDB" w:rsidRPr="008E1EDB" w14:paraId="0A130F67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388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E65F6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519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71FB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99483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</w:tr>
      <w:tr w:rsidR="008E1EDB" w:rsidRPr="008E1EDB" w14:paraId="4E937E16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A389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6C53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96C7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515F9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EED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770E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379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1EDB" w:rsidRPr="008E1EDB" w14:paraId="7BA431B9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B58F0DB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E1CBED9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FD27B0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8C585B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CA6B736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88 058 000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2CF5946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1 034 000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7A0B74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89 092 000</w:t>
            </w:r>
          </w:p>
        </w:tc>
      </w:tr>
      <w:tr w:rsidR="008E1EDB" w:rsidRPr="008E1EDB" w14:paraId="1CC8D441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48DFA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0978EC1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14C614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A3C882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F3F41B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88 058 000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8C7E5C4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1 034 000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7C6481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89 092 000</w:t>
            </w:r>
          </w:p>
        </w:tc>
      </w:tr>
      <w:tr w:rsidR="008E1EDB" w:rsidRPr="008E1EDB" w14:paraId="1EC1B0A2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8E0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F9F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3487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D09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4D5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34724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D1B0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8E1EDB" w:rsidRPr="008E1EDB" w14:paraId="4DC7B69D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0455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DD4F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14E3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259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565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3 010 500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C454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BA00B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3 010 500</w:t>
            </w:r>
          </w:p>
        </w:tc>
      </w:tr>
      <w:tr w:rsidR="008E1EDB" w:rsidRPr="008E1EDB" w14:paraId="726DBFB2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7F2E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A88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3250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0DC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2D96B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185 000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BD24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-10 074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0050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174 926</w:t>
            </w:r>
          </w:p>
        </w:tc>
      </w:tr>
      <w:tr w:rsidR="008E1EDB" w:rsidRPr="008E1EDB" w14:paraId="6A9A6FAD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0DE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CCC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06F7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1F6D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06F7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637 000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0098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A8B2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637 000</w:t>
            </w:r>
          </w:p>
        </w:tc>
      </w:tr>
      <w:tr w:rsidR="008E1EDB" w:rsidRPr="008E1EDB" w14:paraId="40C3F8D9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256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B26F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2F01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1BAC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D54F3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0C25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CA28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78 000</w:t>
            </w:r>
          </w:p>
        </w:tc>
      </w:tr>
      <w:tr w:rsidR="008E1EDB" w:rsidRPr="008E1EDB" w14:paraId="0DA813AC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7493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F9C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20FB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274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AD6C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ED0DC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F5AB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</w:tr>
      <w:tr w:rsidR="008E1EDB" w:rsidRPr="008E1EDB" w14:paraId="3D28C434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6443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095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7F37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1954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275C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CE0A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2671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8E1EDB" w:rsidRPr="008E1EDB" w14:paraId="35681883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CE3D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E1B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6DE02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B2DE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DB4B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A573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10CE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480 000</w:t>
            </w:r>
          </w:p>
        </w:tc>
      </w:tr>
      <w:tr w:rsidR="008E1EDB" w:rsidRPr="008E1EDB" w14:paraId="58ABC5D7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2E55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5D6D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03D4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9EC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70C1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69E8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B626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8E1EDB" w:rsidRPr="008E1EDB" w14:paraId="2DDC2DC5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A59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8B1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A10D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716C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72642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38CA4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7412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27 000</w:t>
            </w:r>
          </w:p>
        </w:tc>
      </w:tr>
      <w:tr w:rsidR="008E1EDB" w:rsidRPr="008E1EDB" w14:paraId="04F85F72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B0E9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CC6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C19E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811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9667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D8B0C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29B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</w:tr>
      <w:tr w:rsidR="008E1EDB" w:rsidRPr="008E1EDB" w14:paraId="5567B31A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3A5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99C4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AC7A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879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8237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82 590 500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67EF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872 831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20D5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83 463 331</w:t>
            </w:r>
          </w:p>
        </w:tc>
      </w:tr>
      <w:tr w:rsidR="008E1EDB" w:rsidRPr="008E1EDB" w14:paraId="56C3B23E" w14:textId="77777777" w:rsidTr="008E1EDB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D22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DBC3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7BEA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A310" w14:textId="77777777" w:rsidR="008E1EDB" w:rsidRPr="008E1EDB" w:rsidRDefault="008E1EDB" w:rsidP="008E1E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07B9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26DC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4DC7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</w:tr>
      <w:tr w:rsidR="008E1EDB" w:rsidRPr="008E1EDB" w14:paraId="56DCBF46" w14:textId="77777777" w:rsidTr="008E1EDB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E48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712E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AC88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A77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638D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A96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2ED0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</w:tr>
      <w:tr w:rsidR="008E1EDB" w:rsidRPr="008E1EDB" w14:paraId="25B4D755" w14:textId="77777777" w:rsidTr="008E1EDB">
        <w:trPr>
          <w:trHeight w:val="540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B91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2BCCF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1FF2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837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F820E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D4486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AC92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</w:tr>
      <w:tr w:rsidR="008E1EDB" w:rsidRPr="008E1EDB" w14:paraId="5BD702EE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A7C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62B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EAE2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C939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B89E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B9A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D788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58 000</w:t>
            </w:r>
          </w:p>
        </w:tc>
      </w:tr>
      <w:tr w:rsidR="008E1EDB" w:rsidRPr="008E1EDB" w14:paraId="65DD69F1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3D6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86333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59A4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D8AD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60E22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90B6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7C2E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8E1EDB" w:rsidRPr="008E1EDB" w14:paraId="79CAA22B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621C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F0B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073AA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37E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71EB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11F4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8DED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62 000</w:t>
            </w:r>
          </w:p>
        </w:tc>
      </w:tr>
      <w:tr w:rsidR="008E1EDB" w:rsidRPr="008E1EDB" w14:paraId="4101F28A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3C5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AA1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43D41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E949E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85F78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65 700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351E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-3 757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A573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61 943</w:t>
            </w:r>
          </w:p>
        </w:tc>
      </w:tr>
      <w:tr w:rsidR="008E1EDB" w:rsidRPr="008E1EDB" w14:paraId="06AAF41D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6C2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F93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9AE8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A4A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F638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8EE42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91BC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8E1EDB" w:rsidRPr="008E1EDB" w14:paraId="4BF203DC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C21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F59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A5E1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84AE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8B5D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3EC04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22E2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8E1EDB" w:rsidRPr="008E1EDB" w14:paraId="053165D6" w14:textId="77777777" w:rsidTr="008E1EDB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D97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ECE5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E348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360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72B9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1549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813EE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8E1EDB" w:rsidRPr="008E1EDB" w14:paraId="0773DEDD" w14:textId="77777777" w:rsidTr="008E1EDB">
        <w:trPr>
          <w:trHeight w:val="49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641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735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9D4E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79A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5DA1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DBFC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36AC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8E1EDB" w:rsidRPr="008E1EDB" w14:paraId="0FCF0810" w14:textId="77777777" w:rsidTr="008E1EDB">
        <w:trPr>
          <w:trHeight w:val="792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68D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3F3F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3BBE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A91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                - realizacja monitoringu wizyjnego w miejscach gromadzenia odpadów w miejscowości Cichowo</w:t>
            </w:r>
            <w:r w:rsidR="009622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Brenno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997C3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0029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FF9CE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</w:tr>
      <w:tr w:rsidR="008E1EDB" w:rsidRPr="008E1EDB" w14:paraId="491C8674" w14:textId="77777777" w:rsidTr="008E1EDB">
        <w:trPr>
          <w:trHeight w:val="1546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187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7D9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0231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E0DA" w14:textId="77777777" w:rsidR="008E1EDB" w:rsidRPr="008E1EDB" w:rsidRDefault="008E1EDB" w:rsidP="0011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                                        - zakup urządzeń na małe elektroodpady (zadanie pn. Te</w:t>
            </w:r>
            <w:r w:rsidR="007D65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renowa infrastruktura edukacyjno – dydaktyczna</w:t>
            </w: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terenie Komunalnego Związku Gmin Regionu Leszczyńskiego")                                                  </w:t>
            </w:r>
            <w:r w:rsidR="00110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- zakup przesuwnych regałów archiwizacyjnych                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8D6E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81463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2D89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340 000</w:t>
            </w:r>
          </w:p>
        </w:tc>
      </w:tr>
      <w:tr w:rsidR="008E1EDB" w:rsidRPr="008E1EDB" w14:paraId="641853C7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E961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14E3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42D2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63E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96A9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CF2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DEE9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1EDB" w:rsidRPr="008E1EDB" w14:paraId="3D96BF8E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EFE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A5F5D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4296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87 738 000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C3921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944 000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6927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88 682 000</w:t>
            </w:r>
          </w:p>
        </w:tc>
      </w:tr>
      <w:tr w:rsidR="008E1EDB" w:rsidRPr="008E1EDB" w14:paraId="5A9CE522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9043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E46D6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5A2E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79C5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32F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</w:tr>
      <w:tr w:rsidR="008E1EDB" w:rsidRPr="008E1EDB" w14:paraId="4FFBE6CB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1F4B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73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D909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916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E162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582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9034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EDB" w:rsidRPr="008E1EDB" w14:paraId="29243D88" w14:textId="77777777" w:rsidTr="008E1EDB">
        <w:trPr>
          <w:trHeight w:val="315"/>
        </w:trPr>
        <w:tc>
          <w:tcPr>
            <w:tcW w:w="36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0DD1D3AA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5B1D309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88 148 000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1F9D58A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1 034 000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81DDBB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89 182 000</w:t>
            </w:r>
          </w:p>
        </w:tc>
      </w:tr>
      <w:tr w:rsidR="008E1EDB" w:rsidRPr="008E1EDB" w14:paraId="47844FE9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41C7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520C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FC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B5F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50C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D8D0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A08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EDB" w:rsidRPr="008E1EDB" w14:paraId="6FE9DA50" w14:textId="77777777" w:rsidTr="008E1EDB">
        <w:trPr>
          <w:trHeight w:val="315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70AA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10D7C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452F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87 828 000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EE92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944 000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305B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88 772 000</w:t>
            </w:r>
          </w:p>
        </w:tc>
      </w:tr>
      <w:tr w:rsidR="008E1EDB" w:rsidRPr="008E1EDB" w14:paraId="5A17E357" w14:textId="77777777" w:rsidTr="008E1EDB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254C" w14:textId="77777777" w:rsidR="008E1EDB" w:rsidRPr="008E1EDB" w:rsidRDefault="008E1EDB" w:rsidP="008E1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8C6B9" w14:textId="77777777" w:rsidR="008E1EDB" w:rsidRPr="008E1EDB" w:rsidRDefault="008E1EDB" w:rsidP="008E1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99A0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509D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676E" w14:textId="77777777" w:rsidR="008E1EDB" w:rsidRPr="008E1EDB" w:rsidRDefault="008E1EDB" w:rsidP="008E1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E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</w:tr>
    </w:tbl>
    <w:p w14:paraId="209A2EAE" w14:textId="77777777" w:rsidR="00357DE3" w:rsidRDefault="00357DE3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77D3844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6AE6250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A7E0AC9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A2E4463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46AD41C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9B31D0A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CCCD6AE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31E41C4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BAF2FA5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457198E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E4A69F0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FAEF802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4DE56AF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DEFB374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9BFEC89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4803EEA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85387E4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C9E0F27" w14:textId="77777777" w:rsidR="001B37B6" w:rsidRDefault="001B37B6" w:rsidP="0029154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</w:p>
    <w:p w14:paraId="55FD7DF6" w14:textId="77777777" w:rsidR="00291549" w:rsidRPr="00754F56" w:rsidRDefault="00291549" w:rsidP="0029154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78D61B68" w14:textId="060E7EC6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do 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Uchwały Nr XLVI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I/</w:t>
      </w:r>
      <w:r w:rsidR="00CB1E90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3</w:t>
      </w:r>
      <w:r w:rsidR="00DE288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/2023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Zgromadzenia Związku Międzygminnego</w:t>
      </w:r>
    </w:p>
    <w:p w14:paraId="48E66B34" w14:textId="77777777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14 czerwca 2023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r. w sprawie zmiany uchwały budżetowej Komunalnego Związku Gmi</w:t>
      </w:r>
      <w:r w:rsidR="00DE288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n Regionu Leszczyńskiego na 2023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rok.</w:t>
      </w:r>
    </w:p>
    <w:p w14:paraId="4AAB7EA2" w14:textId="77777777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3025F767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</w:t>
      </w:r>
      <w:r w:rsidR="005E22FA">
        <w:rPr>
          <w:rFonts w:eastAsia="Times New Roman" w:cstheme="minorHAnsi"/>
          <w:color w:val="000000"/>
          <w:shd w:val="clear" w:color="auto" w:fill="FFFFFF"/>
          <w:lang w:eastAsia="pl-PL"/>
        </w:rPr>
        <w:t>ionu Leszczyńskiego” na rok 2023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 której uzasadnienie przedstawia poniżej.</w:t>
      </w:r>
    </w:p>
    <w:p w14:paraId="3B90E922" w14:textId="77777777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I. Dokonano zmiany w budżecie Związku Międzygminnego Komunalny Związek Gmin Regionu Leszczyńskiego po stronie dochodów, z tego: </w:t>
      </w:r>
    </w:p>
    <w:p w14:paraId="414C9877" w14:textId="77777777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ind w:firstLine="720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1) Dochody bieżące w kwocie </w:t>
      </w:r>
      <w:r w:rsidR="00DE288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89.</w:t>
      </w:r>
      <w:r w:rsidR="005E22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092</w:t>
      </w:r>
      <w:r w:rsidR="00DE288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3281E246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DE2888">
        <w:rPr>
          <w:rFonts w:eastAsia="Times New Roman" w:cstheme="minorHAnsi"/>
          <w:color w:val="000000"/>
          <w:shd w:val="clear" w:color="auto" w:fill="FFFFFF"/>
          <w:lang w:eastAsia="pl-PL"/>
        </w:rPr>
        <w:t>88.148.000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5E22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944</w:t>
      </w:r>
      <w:r w:rsidR="00DE288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DE2888">
        <w:rPr>
          <w:rFonts w:eastAsia="Times New Roman" w:cstheme="minorHAnsi"/>
          <w:color w:val="000000"/>
          <w:shd w:val="clear" w:color="auto" w:fill="FFFFFF"/>
          <w:lang w:eastAsia="pl-PL"/>
        </w:rPr>
        <w:t>89.</w:t>
      </w:r>
      <w:r w:rsidR="005E22FA">
        <w:rPr>
          <w:rFonts w:eastAsia="Times New Roman" w:cstheme="minorHAnsi"/>
          <w:color w:val="000000"/>
          <w:shd w:val="clear" w:color="auto" w:fill="FFFFFF"/>
          <w:lang w:eastAsia="pl-PL"/>
        </w:rPr>
        <w:t>092</w:t>
      </w:r>
      <w:r w:rsidR="00DE2888"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3BD2777D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143ECB02" w14:textId="77777777" w:rsidR="00291549" w:rsidRPr="0099645D" w:rsidRDefault="00291549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758 rozdz. 75814 par. 0920 (wpływy z pozostałych odsetek) zwiększenie o kwotę </w:t>
      </w:r>
      <w:r w:rsidR="00DE2888">
        <w:rPr>
          <w:rFonts w:eastAsia="Times New Roman" w:cstheme="minorHAnsi"/>
          <w:color w:val="000000"/>
          <w:shd w:val="clear" w:color="auto" w:fill="FFFFFF"/>
          <w:lang w:eastAsia="pl-PL"/>
        </w:rPr>
        <w:t>690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.000 zł w związku z wyższym op</w:t>
      </w:r>
      <w:r w:rsidR="005074F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rocentowaniem lokat bankowych, </w:t>
      </w:r>
    </w:p>
    <w:p w14:paraId="47FEC1F9" w14:textId="77777777" w:rsidR="005074F1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0910 (wpływy z odsetek od nieterminowych wpłat z tytułu podatków i opłat) zwiększenie o kwotę </w:t>
      </w:r>
      <w:r w:rsidR="005074F1">
        <w:rPr>
          <w:rFonts w:eastAsia="Times New Roman" w:cstheme="minorHAnsi"/>
          <w:color w:val="000000"/>
          <w:shd w:val="clear" w:color="auto" w:fill="FFFFFF"/>
          <w:lang w:eastAsia="pl-PL"/>
        </w:rPr>
        <w:t>60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.000zł w związku </w:t>
      </w:r>
      <w:r w:rsidR="005074F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wykonaniem dochodów całorocznych w zakresie odsetek od opłaty za gospodarowanie odpadami komunalnymi na skutek nasilonych działań windykacyjnych, </w:t>
      </w:r>
    </w:p>
    <w:p w14:paraId="13645AC8" w14:textId="77777777" w:rsidR="005074F1" w:rsidRPr="0099645D" w:rsidRDefault="005074F1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0970 (wpływy z różnych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dochodów) zwiększenie o kwotę 3.900 zł </w:t>
      </w:r>
      <w:r w:rsidR="004C3BFF">
        <w:rPr>
          <w:rFonts w:eastAsia="Times New Roman" w:cstheme="minorHAnsi"/>
          <w:color w:val="000000"/>
          <w:shd w:val="clear" w:color="auto" w:fill="FFFFFF"/>
          <w:lang w:eastAsia="pl-PL"/>
        </w:rPr>
        <w:t>celem aktualizacji budżetu,</w:t>
      </w:r>
    </w:p>
    <w:p w14:paraId="0BFB5EA9" w14:textId="77777777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90026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0570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tytułu grzywien, mandatów i innych kar pieniężnych od osób fizycznych) wprowadzenie do planu dochodów kwoty 1.000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 związku z wyegzekwowaniem nałożonej kary na osobę fizyczną,</w:t>
      </w:r>
    </w:p>
    <w:p w14:paraId="456B2F1E" w14:textId="77777777" w:rsidR="00291549" w:rsidRDefault="004C3BFF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</w:t>
      </w:r>
      <w:r w:rsidR="002915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0940 (wpływy z rozliczeń/zwrotów z lat u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biegłych) wprowadzen</w:t>
      </w:r>
      <w:r w:rsidR="00F1081A">
        <w:rPr>
          <w:rFonts w:eastAsia="Times New Roman" w:cstheme="minorHAnsi"/>
          <w:color w:val="000000"/>
          <w:shd w:val="clear" w:color="auto" w:fill="FFFFFF"/>
          <w:lang w:eastAsia="pl-PL"/>
        </w:rPr>
        <w:t>ie do planu dochodów kwoty 9.540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2915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 związku z otrzymaniem dochodów z lat ubiegłych</w:t>
      </w:r>
      <w:r w:rsidR="002915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3BFB74CE" w14:textId="77777777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0950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tytułu kar i odszkodowań wynikających z umów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wprowadzenie do planu dochodów kwoty 9.570 zł w związku z otrzymaniem odszkodowania z Poczty Polskiej,</w:t>
      </w:r>
    </w:p>
    <w:p w14:paraId="38BCD3AF" w14:textId="77777777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90026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2460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środki otrzymane od pozostałych jednostek zaliczanych do sektora finansów publicznych na realizację zadań bieżących jednostek zaliczanych do sektora finansów publicznych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)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wprowadzenie do planu dochodów kwoty </w:t>
      </w:r>
      <w:r w:rsidR="005E22FA">
        <w:rPr>
          <w:rFonts w:eastAsia="Times New Roman" w:cstheme="minorHAnsi"/>
          <w:color w:val="000000"/>
          <w:shd w:val="clear" w:color="auto" w:fill="FFFFFF"/>
          <w:lang w:eastAsia="pl-PL"/>
        </w:rPr>
        <w:t>169.990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przyznaniem </w:t>
      </w:r>
      <w:r w:rsidR="001208F5">
        <w:rPr>
          <w:rFonts w:eastAsia="Times New Roman" w:cstheme="minorHAnsi"/>
          <w:color w:val="000000"/>
          <w:shd w:val="clear" w:color="auto" w:fill="FFFFFF"/>
          <w:lang w:eastAsia="pl-PL"/>
        </w:rPr>
        <w:t>środków finansowych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Wojewódzkiego Funduszu Ochrony Środowiska i Gospodarki Wodnej na zadania związane z prowadzeniem edukacji ekologicznej, w tym:</w:t>
      </w:r>
    </w:p>
    <w:p w14:paraId="3F11BA0A" w14:textId="77777777" w:rsidR="004C3BFF" w:rsidRDefault="001208F5" w:rsidP="001208F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Podnoszenie świadomości ekologicznej dzieci i młodzieży z terenu Komunalnego Związku Gmin Regionu Leszczyńskiego z zakresu odpadów komunalnych poprzez konkurs i warsztaty oraz spektakle teatralne – przyznana kwota – 66.150 zł,</w:t>
      </w:r>
    </w:p>
    <w:p w14:paraId="261AE6D4" w14:textId="77777777" w:rsidR="001208F5" w:rsidRDefault="001208F5" w:rsidP="001208F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Podnoszenie świadomości ekologicznej mieszkańców Komunalnego Związku Gmin Regionu Leszczyńskiego druk kolorowanek i książeczek, produkcja audycji radiowych, zakup pomocy dydaktycznych i sprzętu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– przyznana kwota – 25.840 zł,</w:t>
      </w:r>
    </w:p>
    <w:p w14:paraId="71161AA5" w14:textId="77777777" w:rsidR="005E22FA" w:rsidRDefault="005E22FA" w:rsidP="005E22F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Podnoszenie świadomości ekologicznej mieszkańców Komunalnego Związku Gmin Regionu Leszczyńskiego - zakup pomocy dydaktycznych w postaci kalendarza edukacyjnego oraz sprzętu – przyznana kwota – 78.000 zł,</w:t>
      </w:r>
    </w:p>
    <w:p w14:paraId="78091EA7" w14:textId="77777777" w:rsidR="005E22FA" w:rsidRDefault="005E22FA" w:rsidP="001208F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10E9F078" w14:textId="77777777" w:rsidR="00291549" w:rsidRPr="00951467" w:rsidRDefault="00291549" w:rsidP="001208F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2) Dochody majątkowe w kwocie </w:t>
      </w:r>
      <w:r w:rsidR="005E22FA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90.000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 </w:t>
      </w:r>
    </w:p>
    <w:p w14:paraId="79BAF28C" w14:textId="77777777" w:rsidR="005E22FA" w:rsidRPr="00951467" w:rsidRDefault="005E22FA" w:rsidP="005E22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lastRenderedPageBreak/>
        <w:t>(zwiększenie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0 zł 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90.000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90.000 zł)</w:t>
      </w:r>
    </w:p>
    <w:p w14:paraId="13F7E597" w14:textId="77777777" w:rsidR="005E22FA" w:rsidRPr="00951467" w:rsidRDefault="005E22FA" w:rsidP="005E22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282F87BB" w14:textId="77777777" w:rsidR="001208F5" w:rsidRDefault="001208F5" w:rsidP="001208F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6280 (</w:t>
      </w:r>
      <w:r w:rsidRPr="00951467">
        <w:rPr>
          <w:rFonts w:ascii="Calibri" w:eastAsia="Times New Roman" w:hAnsi="Calibri" w:cs="Calibri"/>
          <w:color w:val="000000"/>
          <w:lang w:eastAsia="pl-PL"/>
        </w:rPr>
        <w:t>Środki otrzymane od pozostałych jednostek zaliczanych do sektora finansów publicznych na finansowanie lub dofinansowanie kosztów realizacji inwestycji i zakupów inwestycyjnych jednostek zaliczanych do sektora finansów publicznych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wprowadzenie do planu dochodów kwoty 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90.000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przyznaniem środków finansowych z Wojewódzkiego Funduszu Ochrony Środowiska i Gospodarki Wodnej na zadania związane z prowadzeniem edukacji ekologicznej, w tym:</w:t>
      </w:r>
    </w:p>
    <w:p w14:paraId="4276DB6A" w14:textId="77777777" w:rsidR="00951467" w:rsidRDefault="00951467" w:rsidP="00951467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Rozbudowa infrastruktury edukacyjno – dydaktycznej na terenie Komunalnego Związku Gmin Regionu Leszczyńskiego 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(zakup urządzeń na małe elektroodpady)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– 90.000zł</w:t>
      </w:r>
    </w:p>
    <w:p w14:paraId="64CC3A1D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09DE44C1" w14:textId="77777777" w:rsidR="00291549" w:rsidRPr="0099645D" w:rsidRDefault="00291549" w:rsidP="00291549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dochodów budżetu w wysokości </w:t>
      </w:r>
      <w:r w:rsidR="00951467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89.182.000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2F0047E7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II. Dokonano zmiany w budżecie Związku Międzygminnego Komunalny Związek Gmin Regionu Leszczyńskiego po stronie wydatków, z tego: </w:t>
      </w:r>
    </w:p>
    <w:p w14:paraId="38D32DB4" w14:textId="77777777" w:rsidR="00291549" w:rsidRPr="0099645D" w:rsidRDefault="00291549" w:rsidP="00291549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 w:rsid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88.772.000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188D227E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 z kwoty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87.828.000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944.000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>88.772.000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 </w:t>
      </w:r>
    </w:p>
    <w:p w14:paraId="7970F5EA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7D971069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4210 (zakup materiałów i wyposażenia) zwiększe</w:t>
      </w:r>
      <w:r w:rsidR="00C21EB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nie o kwotę 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>80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.000 zł na zakup materiałów administracyjnych i związanych z edukacją ekologiczną</w:t>
      </w:r>
      <w:r w:rsidR="00357DE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 związku z otrzymaniem środków finansowych z WFOŚiGW)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275D7678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4300 (zakup usług pozostałych) zwiększenie o kwotę 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>872.831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aktualizacji budżetu,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tym również związanych z edukacją ekologiczną</w:t>
      </w:r>
      <w:r w:rsidR="00357DE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 związku z otrzymaniem środków finansowych z WFOŚiGW)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4796A9D8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 w:rsidR="00C21EBC">
        <w:rPr>
          <w:rFonts w:eastAsia="Times New Roman" w:cstheme="minorHAnsi"/>
          <w:color w:val="000000"/>
          <w:shd w:val="clear" w:color="auto" w:fill="FFFFFF"/>
          <w:lang w:eastAsia="pl-PL"/>
        </w:rPr>
        <w:t>4710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 w:rsidR="00C21EBC">
        <w:rPr>
          <w:rFonts w:eastAsia="Times New Roman" w:cstheme="minorHAnsi"/>
          <w:color w:val="000000"/>
          <w:shd w:val="clear" w:color="auto" w:fill="FFFFFF"/>
          <w:lang w:eastAsia="pl-PL"/>
        </w:rPr>
        <w:t>wpłaty na PPK finansowane przez podmiot zatrudniający) zwiększenie o kwotę 5.000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</w:t>
      </w:r>
      <w:r w:rsidR="00C21EBC">
        <w:rPr>
          <w:rFonts w:eastAsia="Times New Roman" w:cstheme="minorHAnsi"/>
          <w:color w:val="000000"/>
          <w:shd w:val="clear" w:color="auto" w:fill="FFFFFF"/>
          <w:lang w:eastAsia="pl-PL"/>
        </w:rPr>
        <w:t>przystąpieniem do PPK pracowników KZGRL.</w:t>
      </w:r>
    </w:p>
    <w:p w14:paraId="79FE8B8C" w14:textId="77777777" w:rsidR="00291549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353C7006" w14:textId="77777777" w:rsidR="00291549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4040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dodatkowe wynagrodzenie roczne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) zmnie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jszenie o kwotę 10.074 zł stosowanie do wykonanych wydatków na ten cel w 2023 r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.,</w:t>
      </w:r>
    </w:p>
    <w:p w14:paraId="6AA25AE3" w14:textId="77777777" w:rsidR="00F924EB" w:rsidRPr="0099645D" w:rsidRDefault="00F924EB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4440 (Odpisy na zakładowy fundusz świadczeń socjalnych) zmniejszenie o kwotę 3.757 zł stosownie do wysokości naliczonego odpisu na 2023r. W przypadku konieczności aktualizacji odpisu w grudniu bieżącego roku, nastąpi korekta planowanych wydatków na ten cel. </w:t>
      </w:r>
    </w:p>
    <w:p w14:paraId="7185A5F5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F3C8CA2" w14:textId="77777777" w:rsidR="00291549" w:rsidRPr="00951467" w:rsidRDefault="00291549" w:rsidP="00291549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="00951467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410.000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40EBFA98" w14:textId="77777777" w:rsidR="00291549" w:rsidRPr="00951467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</w:t>
      </w:r>
      <w:r w:rsidR="00951467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większenie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320.000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951467"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90.000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410.000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37F96798" w14:textId="77777777" w:rsidR="00291549" w:rsidRPr="00951467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</w:t>
      </w:r>
      <w:r w:rsidR="00951467"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większeniu</w:t>
      </w: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wydatków w następujących paragrafach klasyfikacji budżetowej:</w:t>
      </w:r>
    </w:p>
    <w:p w14:paraId="76080BE8" w14:textId="77777777" w:rsidR="00291549" w:rsidRPr="0099645D" w:rsidRDefault="00951467" w:rsidP="0095146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606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(wydatki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zakupy 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inwestycyjne jednostek budżetowych) z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większenie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 kwotę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90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.000zł planowanych wydatków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na zakupy inwestycyjne jednostek budżetowych z przeznaczeniem na rozbudowę infrastruktury edukacyjno – dydaktycznej na terenie Komunalnego Związku Gmin Regionu Leszczyńskiego – zakup urządzeń na małe elektroodpady (WFOŚiGW).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2DBDAD62" w14:textId="77777777" w:rsidR="00291549" w:rsidRDefault="0096224F" w:rsidP="00291549">
      <w:pPr>
        <w:autoSpaceDE w:val="0"/>
        <w:autoSpaceDN w:val="0"/>
        <w:adjustRightInd w:val="0"/>
        <w:spacing w:after="0" w:line="251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6224F">
        <w:rPr>
          <w:rFonts w:eastAsia="Times New Roman" w:cstheme="minorHAnsi"/>
          <w:iCs/>
          <w:color w:val="000000"/>
          <w:shd w:val="clear" w:color="auto" w:fill="FFFFFF"/>
          <w:lang w:eastAsia="pl-PL"/>
        </w:rPr>
        <w:t xml:space="preserve">Ponadto uszczegółowiony został opis </w:t>
      </w:r>
      <w:r>
        <w:rPr>
          <w:rFonts w:eastAsia="Times New Roman" w:cstheme="minorHAnsi"/>
          <w:iCs/>
          <w:color w:val="000000"/>
          <w:shd w:val="clear" w:color="auto" w:fill="FFFFFF"/>
          <w:lang w:eastAsia="pl-PL"/>
        </w:rPr>
        <w:t>w dz. 900 rozdz. 90002 par. 6050</w:t>
      </w:r>
      <w:r w:rsidRPr="0096224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96224F">
        <w:rPr>
          <w:rFonts w:ascii="Calibri" w:eastAsia="Times New Roman" w:hAnsi="Calibri" w:cs="Calibri"/>
          <w:color w:val="000000"/>
          <w:lang w:eastAsia="pl-PL"/>
        </w:rPr>
        <w:t xml:space="preserve">Wydatki inwestycyjne jednostek budżetowych - realizacja monitoringu wizyjnego w miejscach gromadzenia odpadów w miejscowości </w:t>
      </w:r>
      <w:r w:rsidRPr="0096224F">
        <w:rPr>
          <w:rFonts w:ascii="Calibri" w:eastAsia="Times New Roman" w:hAnsi="Calibri" w:cs="Calibri"/>
          <w:color w:val="000000"/>
          <w:lang w:eastAsia="pl-PL"/>
        </w:rPr>
        <w:lastRenderedPageBreak/>
        <w:t>Cichowo i Brenno</w:t>
      </w:r>
      <w:r>
        <w:rPr>
          <w:rFonts w:ascii="Calibri" w:eastAsia="Times New Roman" w:hAnsi="Calibri" w:cs="Calibri"/>
          <w:color w:val="000000"/>
          <w:lang w:eastAsia="pl-PL"/>
        </w:rPr>
        <w:t xml:space="preserve">. Przed zmianą monitoring wizyjny dotyczył wyłącznie miejscowości Cichowo. Kwota planowanego wydatku pozostała bez zmian. </w:t>
      </w:r>
    </w:p>
    <w:p w14:paraId="60B143DE" w14:textId="77777777" w:rsidR="0096224F" w:rsidRPr="0096224F" w:rsidRDefault="0096224F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Cs/>
          <w:color w:val="000000"/>
          <w:shd w:val="clear" w:color="auto" w:fill="FFFFFF"/>
          <w:lang w:eastAsia="pl-PL"/>
        </w:rPr>
      </w:pPr>
    </w:p>
    <w:p w14:paraId="0B858F7E" w14:textId="77777777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wydatków budżetu w wysokości </w:t>
      </w:r>
      <w:r w:rsidR="00951467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89.182.000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1DDE8135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7C0F9D13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Pozostałe wytyczne budżetu Komunalnego Związku Gmin Re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gionu Leszczyńskiego na rok 2023 przyjętego Uchwałą Nr XLVI/4/2022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Zgromadzenia Związku Międzygminnego „Komunalny Związek Gmin Regionu Leszczyńskiego” z dnia 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14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grudnia 202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pozostały bez zmian.</w:t>
      </w:r>
    </w:p>
    <w:p w14:paraId="7E09E566" w14:textId="77777777" w:rsidR="00291549" w:rsidRPr="0099645D" w:rsidRDefault="00291549" w:rsidP="00291549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44C71635" w14:textId="77777777" w:rsidR="00F85616" w:rsidRDefault="00F85616"/>
    <w:sectPr w:rsidR="00F8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num w:numId="1" w16cid:durableId="118155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49"/>
    <w:rsid w:val="000225FF"/>
    <w:rsid w:val="00034979"/>
    <w:rsid w:val="00110B6D"/>
    <w:rsid w:val="001208F5"/>
    <w:rsid w:val="001A774F"/>
    <w:rsid w:val="001B37B6"/>
    <w:rsid w:val="001E4E3C"/>
    <w:rsid w:val="0020576A"/>
    <w:rsid w:val="00291549"/>
    <w:rsid w:val="00347151"/>
    <w:rsid w:val="00357DE3"/>
    <w:rsid w:val="00435D40"/>
    <w:rsid w:val="004C3BFF"/>
    <w:rsid w:val="005074F1"/>
    <w:rsid w:val="005E22FA"/>
    <w:rsid w:val="00661B4F"/>
    <w:rsid w:val="007D65F5"/>
    <w:rsid w:val="008E1EDB"/>
    <w:rsid w:val="00951467"/>
    <w:rsid w:val="0096224F"/>
    <w:rsid w:val="00B05B8D"/>
    <w:rsid w:val="00BA4FB4"/>
    <w:rsid w:val="00BB5ADA"/>
    <w:rsid w:val="00C21EBC"/>
    <w:rsid w:val="00CB1E90"/>
    <w:rsid w:val="00CE5466"/>
    <w:rsid w:val="00D53483"/>
    <w:rsid w:val="00DE2888"/>
    <w:rsid w:val="00F1081A"/>
    <w:rsid w:val="00F85616"/>
    <w:rsid w:val="00F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8F3"/>
  <w15:docId w15:val="{6FA075F4-2B7C-466A-91C4-F6A49DB3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91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9</cp:revision>
  <cp:lastPrinted>2023-06-12T09:58:00Z</cp:lastPrinted>
  <dcterms:created xsi:type="dcterms:W3CDTF">2023-06-12T09:53:00Z</dcterms:created>
  <dcterms:modified xsi:type="dcterms:W3CDTF">2023-06-14T11:58:00Z</dcterms:modified>
</cp:coreProperties>
</file>