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1A6D" w14:textId="721CD7E1" w:rsidR="00291549" w:rsidRPr="00733AA7" w:rsidRDefault="00291549" w:rsidP="00291549">
      <w:pPr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33AA7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</w:t>
      </w:r>
      <w:r w:rsidR="00B61738" w:rsidRPr="00733AA7">
        <w:rPr>
          <w:rFonts w:ascii="Times New Roman" w:eastAsia="Times New Roman" w:hAnsi="Times New Roman" w:cs="Times New Roman"/>
          <w:b/>
          <w:bCs/>
          <w:caps/>
          <w:lang w:eastAsia="pl-PL"/>
        </w:rPr>
        <w:t>IX</w:t>
      </w:r>
      <w:r w:rsidRPr="00733AA7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68619B">
        <w:rPr>
          <w:rFonts w:ascii="Times New Roman" w:eastAsia="Times New Roman" w:hAnsi="Times New Roman" w:cs="Times New Roman"/>
          <w:b/>
          <w:bCs/>
          <w:caps/>
          <w:lang w:eastAsia="pl-PL"/>
        </w:rPr>
        <w:t>15</w:t>
      </w:r>
      <w:r w:rsidRPr="00733AA7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B61738" w:rsidRPr="00733AA7">
        <w:rPr>
          <w:rFonts w:ascii="Times New Roman" w:eastAsia="Times New Roman" w:hAnsi="Times New Roman" w:cs="Times New Roman"/>
          <w:b/>
          <w:bCs/>
          <w:caps/>
          <w:lang w:eastAsia="pl-PL"/>
        </w:rPr>
        <w:t>2024</w:t>
      </w:r>
      <w:r w:rsidRPr="00733AA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</w:t>
      </w:r>
      <w:r w:rsidR="00BB756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 w:rsidRPr="00733AA7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"Komunalny Związek Gmin Regionu Leszczyńskiego"</w:t>
      </w:r>
    </w:p>
    <w:p w14:paraId="67148BA1" w14:textId="5FA0F904" w:rsidR="00291549" w:rsidRPr="00733AA7" w:rsidRDefault="00291549" w:rsidP="0029154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33AA7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67DAC">
        <w:rPr>
          <w:rFonts w:ascii="Times New Roman" w:eastAsia="Times New Roman" w:hAnsi="Times New Roman" w:cs="Times New Roman"/>
          <w:lang w:eastAsia="pl-PL"/>
        </w:rPr>
        <w:t>7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czerwca 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2024</w:t>
      </w:r>
      <w:r w:rsidRPr="00733AA7">
        <w:rPr>
          <w:rFonts w:ascii="Times New Roman" w:eastAsia="Times New Roman" w:hAnsi="Times New Roman" w:cs="Times New Roman"/>
          <w:lang w:eastAsia="pl-PL"/>
        </w:rPr>
        <w:t> r.</w:t>
      </w:r>
    </w:p>
    <w:p w14:paraId="1A3D9D00" w14:textId="7E7BF650" w:rsidR="00291549" w:rsidRPr="00733AA7" w:rsidRDefault="00291549" w:rsidP="0029154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uchwały budżetowej na rok </w:t>
      </w:r>
      <w:r w:rsidR="00B61738" w:rsidRPr="00733AA7">
        <w:rPr>
          <w:rFonts w:ascii="Times New Roman" w:eastAsia="Times New Roman" w:hAnsi="Times New Roman" w:cs="Times New Roman"/>
          <w:b/>
          <w:bCs/>
          <w:lang w:eastAsia="pl-PL"/>
        </w:rPr>
        <w:t>2024</w:t>
      </w:r>
    </w:p>
    <w:p w14:paraId="48BCB6A2" w14:textId="7A8D6DB9" w:rsidR="00291549" w:rsidRPr="00733AA7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lang w:eastAsia="pl-PL"/>
        </w:rPr>
        <w:t>Na podstawie art. 18 ust. 2 pkt 4, pkt 9 lit. d oraz pkt 10, art.69 ust. 3 i art. 73a ustawy z dnia 8 marca 1990 roku o samorz</w:t>
      </w:r>
      <w:r w:rsidR="00435D40" w:rsidRPr="00733AA7">
        <w:rPr>
          <w:rFonts w:ascii="Times New Roman" w:eastAsia="Times New Roman" w:hAnsi="Times New Roman" w:cs="Times New Roman"/>
          <w:lang w:eastAsia="pl-PL"/>
        </w:rPr>
        <w:t>ądzie gminnym (</w:t>
      </w:r>
      <w:proofErr w:type="spellStart"/>
      <w:r w:rsidR="00435D40" w:rsidRPr="00733AA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35D40" w:rsidRPr="00733AA7">
        <w:rPr>
          <w:rFonts w:ascii="Times New Roman" w:eastAsia="Times New Roman" w:hAnsi="Times New Roman" w:cs="Times New Roman"/>
          <w:lang w:eastAsia="pl-PL"/>
        </w:rPr>
        <w:t>. Dz.U. z 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2024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r. poz</w:t>
      </w:r>
      <w:r w:rsidR="00435D40" w:rsidRPr="00733AA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609</w:t>
      </w:r>
      <w:r w:rsidRPr="00733AA7">
        <w:rPr>
          <w:rFonts w:ascii="Times New Roman" w:eastAsia="Times New Roman" w:hAnsi="Times New Roman" w:cs="Times New Roman"/>
          <w:lang w:eastAsia="pl-PL"/>
        </w:rPr>
        <w:t>), art. 212, 222, 258 i 264 ust.3 ustawy z dnia 27 sierpnia 2009 roku o finansac</w:t>
      </w:r>
      <w:r w:rsidR="00435D40" w:rsidRPr="00733AA7">
        <w:rPr>
          <w:rFonts w:ascii="Times New Roman" w:eastAsia="Times New Roman" w:hAnsi="Times New Roman" w:cs="Times New Roman"/>
          <w:lang w:eastAsia="pl-PL"/>
        </w:rPr>
        <w:t>h publicznych (</w:t>
      </w:r>
      <w:proofErr w:type="spellStart"/>
      <w:r w:rsidR="00435D40" w:rsidRPr="00733AA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35D40" w:rsidRPr="00733AA7">
        <w:rPr>
          <w:rFonts w:ascii="Times New Roman" w:eastAsia="Times New Roman" w:hAnsi="Times New Roman" w:cs="Times New Roman"/>
          <w:lang w:eastAsia="pl-PL"/>
        </w:rPr>
        <w:t>. Dz.U. z 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2023</w:t>
      </w:r>
      <w:r w:rsidR="00435D40" w:rsidRPr="00733AA7">
        <w:rPr>
          <w:rFonts w:ascii="Times New Roman" w:eastAsia="Times New Roman" w:hAnsi="Times New Roman" w:cs="Times New Roman"/>
          <w:lang w:eastAsia="pl-PL"/>
        </w:rPr>
        <w:t> r. poz. 1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270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ze zm.), Zgromadzenie Związku Międzygminnego "Komunalny Związek Gmin Regionu Leszczyńskiego" uchwala, co następuje:</w:t>
      </w:r>
    </w:p>
    <w:p w14:paraId="0AB73015" w14:textId="7A853071" w:rsidR="00291549" w:rsidRPr="00733AA7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33AA7">
        <w:rPr>
          <w:rFonts w:ascii="Times New Roman" w:eastAsia="Times New Roman" w:hAnsi="Times New Roman" w:cs="Times New Roman"/>
          <w:lang w:eastAsia="pl-PL"/>
        </w:rPr>
        <w:t>W budżecie Komunalnego Związku Gmin Re</w:t>
      </w:r>
      <w:r w:rsidR="00435D40" w:rsidRPr="00733AA7">
        <w:rPr>
          <w:rFonts w:ascii="Times New Roman" w:eastAsia="Times New Roman" w:hAnsi="Times New Roman" w:cs="Times New Roman"/>
          <w:lang w:eastAsia="pl-PL"/>
        </w:rPr>
        <w:t xml:space="preserve">gionu Leszczyńskiego na rok 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2024</w:t>
      </w:r>
      <w:r w:rsidRPr="00733AA7">
        <w:rPr>
          <w:rFonts w:ascii="Times New Roman" w:eastAsia="Times New Roman" w:hAnsi="Times New Roman" w:cs="Times New Roman"/>
          <w:lang w:eastAsia="pl-PL"/>
        </w:rPr>
        <w:t> przyjętym uchwałą Nr XL</w:t>
      </w:r>
      <w:r w:rsidR="00435D40" w:rsidRPr="00733AA7">
        <w:rPr>
          <w:rFonts w:ascii="Times New Roman" w:eastAsia="Times New Roman" w:hAnsi="Times New Roman" w:cs="Times New Roman"/>
          <w:lang w:eastAsia="pl-PL"/>
        </w:rPr>
        <w:t>V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II</w:t>
      </w:r>
      <w:r w:rsidR="00435D40" w:rsidRPr="00733AA7">
        <w:rPr>
          <w:rFonts w:ascii="Times New Roman" w:eastAsia="Times New Roman" w:hAnsi="Times New Roman" w:cs="Times New Roman"/>
          <w:lang w:eastAsia="pl-PL"/>
        </w:rPr>
        <w:t>I/4/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2023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Zgromadzenia Związku Międzygminnego Komunalny Związek Gmin Regionu Leszczyńskiego z dnia </w:t>
      </w:r>
      <w:r w:rsidR="00435D40" w:rsidRPr="00733AA7">
        <w:rPr>
          <w:rFonts w:ascii="Times New Roman" w:eastAsia="Times New Roman" w:hAnsi="Times New Roman" w:cs="Times New Roman"/>
          <w:lang w:eastAsia="pl-PL"/>
        </w:rPr>
        <w:t xml:space="preserve">14 grudnia 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2023</w:t>
      </w:r>
      <w:r w:rsidRPr="00733AA7">
        <w:rPr>
          <w:rFonts w:ascii="Times New Roman" w:eastAsia="Times New Roman" w:hAnsi="Times New Roman" w:cs="Times New Roman"/>
          <w:lang w:eastAsia="pl-PL"/>
        </w:rPr>
        <w:t> r. wprowadza się następujące zmiany:</w:t>
      </w:r>
    </w:p>
    <w:p w14:paraId="30BC5731" w14:textId="77777777" w:rsidR="00291549" w:rsidRPr="00733AA7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lang w:eastAsia="pl-PL"/>
        </w:rPr>
        <w:t xml:space="preserve">1. §1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291549" w:rsidRPr="00733AA7" w14:paraId="77CE9969" w14:textId="77777777" w:rsidTr="0029154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2B" w14:textId="2EB9240A" w:rsidR="00291549" w:rsidRPr="00733AA7" w:rsidRDefault="00291549" w:rsidP="00291549">
            <w:pPr>
              <w:keepLines/>
              <w:spacing w:before="120" w:after="120"/>
              <w:ind w:firstLine="340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 xml:space="preserve">"§1. Ustala się łączną kwotę dochodów budżetu w wysokości </w:t>
            </w:r>
            <w:r w:rsidR="00733AA7" w:rsidRPr="00733AA7">
              <w:rPr>
                <w:sz w:val="22"/>
                <w:szCs w:val="22"/>
              </w:rPr>
              <w:t>91.679.000</w:t>
            </w:r>
            <w:r w:rsidRPr="00733AA7">
              <w:rPr>
                <w:sz w:val="22"/>
                <w:szCs w:val="22"/>
              </w:rPr>
              <w:t xml:space="preserve"> zł, z tego:</w:t>
            </w:r>
          </w:p>
          <w:p w14:paraId="297DA585" w14:textId="2E29DF94" w:rsidR="00291549" w:rsidRPr="00733AA7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 xml:space="preserve">- dochody bieżące w kwocie </w:t>
            </w:r>
            <w:r w:rsidR="00733AA7" w:rsidRPr="00733AA7">
              <w:rPr>
                <w:sz w:val="22"/>
                <w:szCs w:val="22"/>
              </w:rPr>
              <w:t>91.581.</w:t>
            </w:r>
            <w:r w:rsidR="000225FF" w:rsidRPr="00733AA7">
              <w:rPr>
                <w:sz w:val="22"/>
                <w:szCs w:val="22"/>
              </w:rPr>
              <w:t>000</w:t>
            </w:r>
            <w:r w:rsidRPr="00733AA7">
              <w:rPr>
                <w:sz w:val="22"/>
                <w:szCs w:val="22"/>
              </w:rPr>
              <w:t xml:space="preserve"> zł</w:t>
            </w:r>
          </w:p>
          <w:p w14:paraId="5443A73F" w14:textId="6F1E6666" w:rsidR="00291549" w:rsidRPr="00733AA7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 xml:space="preserve">- dochody majątkowe </w:t>
            </w:r>
            <w:r w:rsidR="000225FF" w:rsidRPr="00733AA7">
              <w:rPr>
                <w:sz w:val="22"/>
                <w:szCs w:val="22"/>
              </w:rPr>
              <w:t>9</w:t>
            </w:r>
            <w:r w:rsidR="00733AA7" w:rsidRPr="00733AA7">
              <w:rPr>
                <w:sz w:val="22"/>
                <w:szCs w:val="22"/>
              </w:rPr>
              <w:t>8</w:t>
            </w:r>
            <w:r w:rsidR="000225FF" w:rsidRPr="00733AA7">
              <w:rPr>
                <w:sz w:val="22"/>
                <w:szCs w:val="22"/>
              </w:rPr>
              <w:t>.00</w:t>
            </w:r>
            <w:r w:rsidR="00DE2888" w:rsidRPr="00733AA7">
              <w:rPr>
                <w:sz w:val="22"/>
                <w:szCs w:val="22"/>
              </w:rPr>
              <w:t>0</w:t>
            </w:r>
            <w:r w:rsidRPr="00733AA7">
              <w:rPr>
                <w:sz w:val="22"/>
                <w:szCs w:val="22"/>
              </w:rPr>
              <w:t xml:space="preserve"> zł </w:t>
            </w:r>
          </w:p>
          <w:p w14:paraId="4274041D" w14:textId="77777777" w:rsidR="00291549" w:rsidRPr="00733AA7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>jak w załączniku nr 1 do uchwały".</w:t>
            </w:r>
          </w:p>
        </w:tc>
      </w:tr>
    </w:tbl>
    <w:p w14:paraId="4BE038EB" w14:textId="77777777" w:rsidR="00291549" w:rsidRPr="00733AA7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lang w:eastAsia="pl-PL"/>
        </w:rPr>
        <w:t xml:space="preserve">2. §2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291549" w:rsidRPr="00733AA7" w14:paraId="0FAA4446" w14:textId="77777777" w:rsidTr="00DE2888">
        <w:trPr>
          <w:trHeight w:val="17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7F3C" w14:textId="6B8B008F" w:rsidR="00291549" w:rsidRPr="00733AA7" w:rsidRDefault="00291549" w:rsidP="00291549">
            <w:pPr>
              <w:keepLines/>
              <w:spacing w:before="120" w:after="120"/>
              <w:ind w:firstLine="340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 xml:space="preserve">"§2. Ustala się łączną kwotę wydatków budżetu w wysokości </w:t>
            </w:r>
            <w:r w:rsidR="00733AA7" w:rsidRPr="00733AA7">
              <w:rPr>
                <w:sz w:val="22"/>
                <w:szCs w:val="22"/>
              </w:rPr>
              <w:t>99.600</w:t>
            </w:r>
            <w:r w:rsidR="00DE2888" w:rsidRPr="00733AA7">
              <w:rPr>
                <w:sz w:val="22"/>
                <w:szCs w:val="22"/>
              </w:rPr>
              <w:t>.000</w:t>
            </w:r>
            <w:r w:rsidRPr="00733AA7">
              <w:rPr>
                <w:sz w:val="22"/>
                <w:szCs w:val="22"/>
              </w:rPr>
              <w:t xml:space="preserve"> zł, z tego:</w:t>
            </w:r>
          </w:p>
          <w:p w14:paraId="05C22845" w14:textId="77CFB628" w:rsidR="00291549" w:rsidRPr="00733AA7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 xml:space="preserve">- wydatki bieżące w kwocie </w:t>
            </w:r>
            <w:r w:rsidR="00733AA7" w:rsidRPr="00733AA7">
              <w:rPr>
                <w:sz w:val="22"/>
                <w:szCs w:val="22"/>
              </w:rPr>
              <w:t>99.316</w:t>
            </w:r>
            <w:r w:rsidR="00DE2888" w:rsidRPr="00733AA7">
              <w:rPr>
                <w:sz w:val="22"/>
                <w:szCs w:val="22"/>
              </w:rPr>
              <w:t>.000</w:t>
            </w:r>
            <w:r w:rsidRPr="00733AA7">
              <w:rPr>
                <w:sz w:val="22"/>
                <w:szCs w:val="22"/>
              </w:rPr>
              <w:t xml:space="preserve"> zł</w:t>
            </w:r>
          </w:p>
          <w:p w14:paraId="048FA222" w14:textId="11AF9650" w:rsidR="00291549" w:rsidRPr="00733AA7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 xml:space="preserve">- wydatki majątkowe </w:t>
            </w:r>
            <w:r w:rsidR="00733AA7" w:rsidRPr="00733AA7">
              <w:rPr>
                <w:sz w:val="22"/>
                <w:szCs w:val="22"/>
              </w:rPr>
              <w:t>284</w:t>
            </w:r>
            <w:r w:rsidR="00DE2888" w:rsidRPr="00733AA7">
              <w:rPr>
                <w:sz w:val="22"/>
                <w:szCs w:val="22"/>
              </w:rPr>
              <w:t>.000</w:t>
            </w:r>
            <w:r w:rsidRPr="00733AA7">
              <w:rPr>
                <w:sz w:val="22"/>
                <w:szCs w:val="22"/>
              </w:rPr>
              <w:t xml:space="preserve"> zł </w:t>
            </w:r>
          </w:p>
          <w:p w14:paraId="75951868" w14:textId="77777777" w:rsidR="00291549" w:rsidRPr="00733AA7" w:rsidRDefault="00291549" w:rsidP="00DE2888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>jak w załączniku nr 2 do uchwały".</w:t>
            </w:r>
          </w:p>
          <w:p w14:paraId="170A697F" w14:textId="77777777" w:rsidR="00733AA7" w:rsidRPr="00733AA7" w:rsidRDefault="00733AA7" w:rsidP="00DE2888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>3. §4 otrzymuje brzmienie:</w:t>
            </w:r>
          </w:p>
          <w:p w14:paraId="154B9545" w14:textId="1AAC8FC6" w:rsidR="00733AA7" w:rsidRPr="00733AA7" w:rsidRDefault="00733AA7" w:rsidP="00DE2888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733AA7">
              <w:rPr>
                <w:sz w:val="22"/>
                <w:szCs w:val="22"/>
              </w:rPr>
              <w:t>„Tworzy się rezerwę ogólną w kwocie 100.000 zł”.</w:t>
            </w:r>
          </w:p>
        </w:tc>
      </w:tr>
    </w:tbl>
    <w:p w14:paraId="1209DA7E" w14:textId="41A53CA9" w:rsidR="00291549" w:rsidRPr="00733AA7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733AA7">
        <w:rPr>
          <w:rFonts w:ascii="Times New Roman" w:eastAsia="Times New Roman" w:hAnsi="Times New Roman" w:cs="Times New Roman"/>
          <w:lang w:eastAsia="pl-PL"/>
        </w:rPr>
        <w:t>1. Załącznik Nr 1 do uchwały Nr XL</w:t>
      </w:r>
      <w:r w:rsidR="00733AA7">
        <w:rPr>
          <w:rFonts w:ascii="Times New Roman" w:eastAsia="Times New Roman" w:hAnsi="Times New Roman" w:cs="Times New Roman"/>
          <w:lang w:eastAsia="pl-PL"/>
        </w:rPr>
        <w:t>VIII</w:t>
      </w:r>
      <w:r w:rsidR="00DE2888" w:rsidRPr="00733AA7">
        <w:rPr>
          <w:rFonts w:ascii="Times New Roman" w:eastAsia="Times New Roman" w:hAnsi="Times New Roman" w:cs="Times New Roman"/>
          <w:lang w:eastAsia="pl-PL"/>
        </w:rPr>
        <w:t>/4/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2023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Zgromadzenia Związku Międzygminnego "Komunalny Związek Gmin Regionu Leszczyńskiego" z dnia </w:t>
      </w:r>
      <w:r w:rsidR="00DE2888" w:rsidRPr="00733AA7">
        <w:rPr>
          <w:rFonts w:ascii="Times New Roman" w:eastAsia="Times New Roman" w:hAnsi="Times New Roman" w:cs="Times New Roman"/>
          <w:lang w:eastAsia="pl-PL"/>
        </w:rPr>
        <w:t xml:space="preserve">14 grudnia 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2023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r. otrzymuje brzmienie zgodnie z załącznikiem nr 1 do niniejszej uchwały.</w:t>
      </w:r>
    </w:p>
    <w:p w14:paraId="1F0FDBEF" w14:textId="6EB8A3D2" w:rsidR="00291549" w:rsidRPr="00733AA7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lang w:eastAsia="pl-PL"/>
        </w:rPr>
        <w:t>2. Załącznik Nr 2 do uchwały Nr XL</w:t>
      </w:r>
      <w:r w:rsidR="00DE2888" w:rsidRPr="00733AA7">
        <w:rPr>
          <w:rFonts w:ascii="Times New Roman" w:eastAsia="Times New Roman" w:hAnsi="Times New Roman" w:cs="Times New Roman"/>
          <w:lang w:eastAsia="pl-PL"/>
        </w:rPr>
        <w:t>VI</w:t>
      </w:r>
      <w:r w:rsidR="00733AA7">
        <w:rPr>
          <w:rFonts w:ascii="Times New Roman" w:eastAsia="Times New Roman" w:hAnsi="Times New Roman" w:cs="Times New Roman"/>
          <w:lang w:eastAsia="pl-PL"/>
        </w:rPr>
        <w:t>II</w:t>
      </w:r>
      <w:r w:rsidR="00DE2888" w:rsidRPr="00733AA7">
        <w:rPr>
          <w:rFonts w:ascii="Times New Roman" w:eastAsia="Times New Roman" w:hAnsi="Times New Roman" w:cs="Times New Roman"/>
          <w:lang w:eastAsia="pl-PL"/>
        </w:rPr>
        <w:t>/4/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2023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Zgromadzenia Związku Międzygminnego "Komunalny Związek Gmin Regionu Leszczyńskiego" z dnia </w:t>
      </w:r>
      <w:r w:rsidR="00DE2888" w:rsidRPr="00733AA7">
        <w:rPr>
          <w:rFonts w:ascii="Times New Roman" w:eastAsia="Times New Roman" w:hAnsi="Times New Roman" w:cs="Times New Roman"/>
          <w:lang w:eastAsia="pl-PL"/>
        </w:rPr>
        <w:t>14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 grudnia </w:t>
      </w:r>
      <w:r w:rsidR="00B61738" w:rsidRPr="00733AA7">
        <w:rPr>
          <w:rFonts w:ascii="Times New Roman" w:eastAsia="Times New Roman" w:hAnsi="Times New Roman" w:cs="Times New Roman"/>
          <w:lang w:eastAsia="pl-PL"/>
        </w:rPr>
        <w:t>2023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r. otrzymuje brzmienie zgodnie z załącznikiem nr 2 do niniejszej uchwały.</w:t>
      </w:r>
    </w:p>
    <w:p w14:paraId="3E75103A" w14:textId="77777777" w:rsidR="00291549" w:rsidRPr="00733AA7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b/>
          <w:bCs/>
          <w:lang w:eastAsia="pl-PL"/>
        </w:rPr>
        <w:t xml:space="preserve">§ 3. </w:t>
      </w:r>
      <w:r w:rsidRPr="00733AA7">
        <w:rPr>
          <w:rFonts w:ascii="Times New Roman" w:eastAsia="Times New Roman" w:hAnsi="Times New Roman" w:cs="Times New Roman"/>
          <w:lang w:eastAsia="pl-PL"/>
        </w:rPr>
        <w:t>Wykonanie uchwały powierza się Zarządowi Związku Międzygminnego "Komunalny Związek Gmin Regionu Leszczyńskiego".</w:t>
      </w:r>
    </w:p>
    <w:p w14:paraId="57530829" w14:textId="77777777" w:rsidR="00BB756F" w:rsidRDefault="00291549" w:rsidP="00BB75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b/>
          <w:bCs/>
          <w:lang w:eastAsia="pl-PL"/>
        </w:rPr>
        <w:t>§ 4.</w:t>
      </w:r>
      <w:r w:rsidRPr="00733AA7">
        <w:rPr>
          <w:rFonts w:ascii="Times New Roman" w:eastAsia="Times New Roman" w:hAnsi="Times New Roman" w:cs="Times New Roman"/>
          <w:lang w:eastAsia="pl-PL"/>
        </w:rPr>
        <w:t xml:space="preserve"> Uchwała wchodzi w życie z dniem podjęcia.</w:t>
      </w:r>
    </w:p>
    <w:p w14:paraId="45BADF15" w14:textId="276CEAE5" w:rsidR="00BB756F" w:rsidRDefault="00BB756F" w:rsidP="00BB75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PRZEWODNICZĄCY ZGROMADZENIA ZWIĄZKU MIĘDZYGMINNEGO </w:t>
      </w:r>
    </w:p>
    <w:p w14:paraId="6E889E8D" w14:textId="77777777" w:rsidR="0068619B" w:rsidRDefault="00BB756F" w:rsidP="0068619B">
      <w:pPr>
        <w:jc w:val="right"/>
        <w:rPr>
          <w:b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„KOMUNALNY ZWIĄZEK GMIN REGIONU LESZCZYŃSKIEGO”</w:t>
      </w:r>
      <w:r w:rsidR="0068619B" w:rsidRPr="0068619B">
        <w:rPr>
          <w:b/>
          <w:bCs/>
        </w:rPr>
        <w:t xml:space="preserve"> </w:t>
      </w:r>
    </w:p>
    <w:p w14:paraId="2893D58F" w14:textId="73C52E28" w:rsidR="0068619B" w:rsidRDefault="0068619B" w:rsidP="0068619B">
      <w:pPr>
        <w:jc w:val="right"/>
        <w:rPr>
          <w:b/>
          <w:bCs/>
        </w:rPr>
      </w:pPr>
      <w:r>
        <w:rPr>
          <w:b/>
          <w:bCs/>
        </w:rPr>
        <w:t>/-/ Łukasz Kubiak</w:t>
      </w:r>
    </w:p>
    <w:p w14:paraId="02C8EBCB" w14:textId="310C3104" w:rsidR="00291549" w:rsidRPr="007B1FB5" w:rsidRDefault="00291549" w:rsidP="00291549">
      <w:pPr>
        <w:keepNext/>
        <w:spacing w:after="480"/>
        <w:ind w:left="2832"/>
        <w:jc w:val="both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Załącznik nr 1 do uchwały Nr X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LV</w:t>
      </w:r>
      <w:r w:rsidR="00733AA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II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I/4/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1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4 grudnia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 na rok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 w brzmieniu nadanym w załączniku nr 1 do uchwały nr XL</w:t>
      </w:r>
      <w:r w:rsidR="00733AA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IX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68619B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15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</w:t>
      </w:r>
      <w:r w:rsidR="00AE49AC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7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czerwca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n Regionu Leszczyńskiego na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</w:t>
      </w:r>
    </w:p>
    <w:p w14:paraId="710A8D6E" w14:textId="41CC129F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Plan dochodów </w:t>
      </w:r>
      <w:r w:rsidR="00B617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2024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p w14:paraId="52A79FA1" w14:textId="77777777" w:rsidR="000C496D" w:rsidRDefault="000C496D" w:rsidP="000C49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93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40"/>
        <w:gridCol w:w="850"/>
        <w:gridCol w:w="3912"/>
        <w:gridCol w:w="1050"/>
        <w:gridCol w:w="992"/>
        <w:gridCol w:w="992"/>
        <w:gridCol w:w="160"/>
      </w:tblGrid>
      <w:tr w:rsidR="000C496D" w:rsidRPr="000C496D" w14:paraId="3990D31A" w14:textId="77777777" w:rsidTr="000C496D">
        <w:trPr>
          <w:gridAfter w:val="1"/>
          <w:wAfter w:w="160" w:type="dxa"/>
          <w:trHeight w:val="4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F1E48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7AF0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E074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0511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2CD3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77B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F71E3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2024 po zmianie</w:t>
            </w:r>
          </w:p>
        </w:tc>
      </w:tr>
      <w:tr w:rsidR="000C496D" w:rsidRPr="000C496D" w14:paraId="72445704" w14:textId="77777777" w:rsidTr="000C496D">
        <w:trPr>
          <w:gridAfter w:val="1"/>
          <w:wAfter w:w="160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3FF6AC9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8B0486E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DD792A2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2210F4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7953894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4C75AD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EF5AEE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1 000 000</w:t>
            </w:r>
          </w:p>
        </w:tc>
      </w:tr>
      <w:tr w:rsidR="000C496D" w:rsidRPr="000C496D" w14:paraId="427D44E2" w14:textId="77777777" w:rsidTr="000C496D">
        <w:trPr>
          <w:gridAfter w:val="1"/>
          <w:wAfter w:w="160" w:type="dxa"/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3900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9569B48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A8FCA4F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951188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vAlign w:val="center"/>
            <w:hideMark/>
          </w:tcPr>
          <w:p w14:paraId="1726FF7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E23147A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2D5788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</w:tr>
      <w:tr w:rsidR="000C496D" w:rsidRPr="000C496D" w14:paraId="29D73F2C" w14:textId="77777777" w:rsidTr="000C496D">
        <w:trPr>
          <w:gridAfter w:val="1"/>
          <w:wAfter w:w="160" w:type="dxa"/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5F47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C0414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5294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AD0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381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B3E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B88A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</w:tr>
      <w:tr w:rsidR="000C496D" w:rsidRPr="000C496D" w14:paraId="48C91CA2" w14:textId="77777777" w:rsidTr="000C496D">
        <w:trPr>
          <w:gridAfter w:val="1"/>
          <w:wAfter w:w="160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4B2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2503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91A5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5191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ED5C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96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ECED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3527761D" w14:textId="77777777" w:rsidTr="000C496D">
        <w:trPr>
          <w:gridAfter w:val="1"/>
          <w:wAfter w:w="160" w:type="dxa"/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5934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6FE5F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849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054E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6A0E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</w:tr>
      <w:tr w:rsidR="000C496D" w:rsidRPr="000C496D" w14:paraId="186374D8" w14:textId="77777777" w:rsidTr="000C496D">
        <w:trPr>
          <w:gridAfter w:val="1"/>
          <w:wAfter w:w="160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1937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33549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175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856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6929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0C496D" w:rsidRPr="000C496D" w14:paraId="16E15E6A" w14:textId="77777777" w:rsidTr="000C496D">
        <w:trPr>
          <w:gridAfter w:val="1"/>
          <w:wAfter w:w="160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33D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DA35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FCF1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93A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28F0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4CAA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E88D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5F4F15B2" w14:textId="77777777" w:rsidTr="000C496D">
        <w:trPr>
          <w:gridAfter w:val="1"/>
          <w:wAfter w:w="160" w:type="dxa"/>
          <w:trHeight w:val="50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EEFBF47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E89FE88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EF664E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D8A907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7D42FAB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88 452 000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AA414"/>
            <w:noWrap/>
            <w:vAlign w:val="center"/>
            <w:hideMark/>
          </w:tcPr>
          <w:p w14:paraId="02358D30" w14:textId="77777777" w:rsidR="000C496D" w:rsidRPr="00C435B5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435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2 227 000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B762AA6" w14:textId="77777777" w:rsidR="000C496D" w:rsidRPr="00C435B5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435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90 679 000</w:t>
            </w:r>
          </w:p>
        </w:tc>
      </w:tr>
      <w:tr w:rsidR="000C496D" w:rsidRPr="000C496D" w14:paraId="4202FCD1" w14:textId="77777777" w:rsidTr="000C496D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03403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85BF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BE1F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8FAD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C5E8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333902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EE502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B2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C496D" w:rsidRPr="000C496D" w14:paraId="5096214A" w14:textId="77777777" w:rsidTr="000C496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9B0E0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3F337C7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4AF7BD2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B2E1FC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0385CBC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88 436 000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3EE6FA1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1 945 900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3E142C2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90 381 900</w:t>
            </w:r>
          </w:p>
        </w:tc>
        <w:tc>
          <w:tcPr>
            <w:tcW w:w="160" w:type="dxa"/>
            <w:vAlign w:val="center"/>
            <w:hideMark/>
          </w:tcPr>
          <w:p w14:paraId="26EF978F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776A9449" w14:textId="77777777" w:rsidTr="000C496D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7F3A5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B9AA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1757E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5283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47E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87 474 000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38B0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1 944 500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99B4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89 418 500</w:t>
            </w:r>
          </w:p>
        </w:tc>
        <w:tc>
          <w:tcPr>
            <w:tcW w:w="160" w:type="dxa"/>
            <w:vAlign w:val="center"/>
            <w:hideMark/>
          </w:tcPr>
          <w:p w14:paraId="4D5600D4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7F6F6563" w14:textId="77777777" w:rsidTr="000C496D">
        <w:trPr>
          <w:trHeight w:val="49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7BB7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A35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D92128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9E75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502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7D3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CF3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160" w:type="dxa"/>
            <w:vAlign w:val="center"/>
            <w:hideMark/>
          </w:tcPr>
          <w:p w14:paraId="4D3182B0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5E6FC390" w14:textId="77777777" w:rsidTr="000C496D">
        <w:trPr>
          <w:trHeight w:val="50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183C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9F443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C8F60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511F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247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7E7F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C1A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160" w:type="dxa"/>
            <w:vAlign w:val="center"/>
            <w:hideMark/>
          </w:tcPr>
          <w:p w14:paraId="6EE4E69B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7A13071D" w14:textId="77777777" w:rsidTr="000C496D">
        <w:trPr>
          <w:trHeight w:val="49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E63E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A45D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3AAA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8BF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2E1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EEE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914B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550 000</w:t>
            </w:r>
          </w:p>
        </w:tc>
        <w:tc>
          <w:tcPr>
            <w:tcW w:w="160" w:type="dxa"/>
            <w:vAlign w:val="center"/>
            <w:hideMark/>
          </w:tcPr>
          <w:p w14:paraId="329ADCBD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12B1C09F" w14:textId="77777777" w:rsidTr="000C496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4D62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952E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C6C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756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A19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1 600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F7A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1 400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7FA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60" w:type="dxa"/>
            <w:vAlign w:val="center"/>
            <w:hideMark/>
          </w:tcPr>
          <w:p w14:paraId="37354C02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365F1302" w14:textId="77777777" w:rsidTr="000C496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749B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9C9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2B28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9E7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AC5A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546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526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10 400</w:t>
            </w:r>
          </w:p>
        </w:tc>
        <w:tc>
          <w:tcPr>
            <w:tcW w:w="160" w:type="dxa"/>
            <w:vAlign w:val="center"/>
            <w:hideMark/>
          </w:tcPr>
          <w:p w14:paraId="65FD02BE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4092C085" w14:textId="77777777" w:rsidTr="000C496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90159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6F65BA6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2CADD49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3C2965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7B0DE1B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5E98209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0D26F9E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297 100</w:t>
            </w:r>
          </w:p>
        </w:tc>
        <w:tc>
          <w:tcPr>
            <w:tcW w:w="160" w:type="dxa"/>
            <w:vAlign w:val="center"/>
            <w:hideMark/>
          </w:tcPr>
          <w:p w14:paraId="2B4CE8FB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62658E01" w14:textId="77777777" w:rsidTr="000C496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0984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E3C6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2FEAC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E7FF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 kar i odszkodowań wynikających z umów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06FB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992EB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6356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60" w:type="dxa"/>
            <w:vAlign w:val="center"/>
            <w:hideMark/>
          </w:tcPr>
          <w:p w14:paraId="65DCCB06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51DBD15A" w14:textId="77777777" w:rsidTr="000C496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59A9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9B2F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24754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2673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2AE7D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BEED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613C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16 000</w:t>
            </w:r>
          </w:p>
        </w:tc>
        <w:tc>
          <w:tcPr>
            <w:tcW w:w="160" w:type="dxa"/>
            <w:vAlign w:val="center"/>
            <w:hideMark/>
          </w:tcPr>
          <w:p w14:paraId="07C2A90B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61E735B7" w14:textId="77777777" w:rsidTr="000C496D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B5909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3AB53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06F24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45F5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A6D5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1693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D345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183 000</w:t>
            </w:r>
          </w:p>
        </w:tc>
        <w:tc>
          <w:tcPr>
            <w:tcW w:w="160" w:type="dxa"/>
            <w:vAlign w:val="center"/>
            <w:hideMark/>
          </w:tcPr>
          <w:p w14:paraId="74DD1E7A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7AD78FB8" w14:textId="77777777" w:rsidTr="000C496D">
        <w:trPr>
          <w:trHeight w:val="105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49002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5977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51BA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6280</w:t>
            </w: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077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313A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657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99FE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160" w:type="dxa"/>
            <w:vAlign w:val="center"/>
            <w:hideMark/>
          </w:tcPr>
          <w:p w14:paraId="74F87619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4A0E5FDD" w14:textId="77777777" w:rsidTr="000C496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82C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D1CC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54FA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DACE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E76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3599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1B86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940E7ED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7CA583BE" w14:textId="77777777" w:rsidTr="000C496D">
        <w:trPr>
          <w:trHeight w:val="300"/>
        </w:trPr>
        <w:tc>
          <w:tcPr>
            <w:tcW w:w="6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80895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73B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88 452 000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E703A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2 129 000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429D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90 581 000</w:t>
            </w:r>
          </w:p>
        </w:tc>
        <w:tc>
          <w:tcPr>
            <w:tcW w:w="160" w:type="dxa"/>
            <w:vAlign w:val="center"/>
            <w:hideMark/>
          </w:tcPr>
          <w:p w14:paraId="7E256BCD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7AE02988" w14:textId="77777777" w:rsidTr="000C496D">
        <w:trPr>
          <w:trHeight w:val="300"/>
        </w:trPr>
        <w:tc>
          <w:tcPr>
            <w:tcW w:w="6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BFBFE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F35B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4DE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18FC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160" w:type="dxa"/>
            <w:vAlign w:val="center"/>
            <w:hideMark/>
          </w:tcPr>
          <w:p w14:paraId="20947884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3CA36E8E" w14:textId="77777777" w:rsidTr="000C496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2E7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A0F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D86F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540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2372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92EC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3EA7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BB5B1E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1DA307C3" w14:textId="77777777" w:rsidTr="000C496D">
        <w:trPr>
          <w:trHeight w:val="300"/>
        </w:trPr>
        <w:tc>
          <w:tcPr>
            <w:tcW w:w="6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64D52390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5FC22D51" w14:textId="77777777" w:rsidR="000C496D" w:rsidRPr="00C435B5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435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89 052 000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37516CBF" w14:textId="77777777" w:rsidR="000C496D" w:rsidRPr="00C435B5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435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2 627 000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49C59994" w14:textId="77777777" w:rsidR="000C496D" w:rsidRPr="00C435B5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435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91 679 000</w:t>
            </w:r>
          </w:p>
        </w:tc>
        <w:tc>
          <w:tcPr>
            <w:tcW w:w="160" w:type="dxa"/>
            <w:vAlign w:val="center"/>
            <w:hideMark/>
          </w:tcPr>
          <w:p w14:paraId="3CA19377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406F8CDD" w14:textId="77777777" w:rsidTr="000C496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7AE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9E5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E339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1E9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B08A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7295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672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773CC40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490F3F07" w14:textId="77777777" w:rsidTr="000C496D">
        <w:trPr>
          <w:trHeight w:val="300"/>
        </w:trPr>
        <w:tc>
          <w:tcPr>
            <w:tcW w:w="6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DD6B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A114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89 052 000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5047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2 529 000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8395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91 581 000</w:t>
            </w:r>
          </w:p>
        </w:tc>
        <w:tc>
          <w:tcPr>
            <w:tcW w:w="160" w:type="dxa"/>
            <w:vAlign w:val="center"/>
            <w:hideMark/>
          </w:tcPr>
          <w:p w14:paraId="53ADAE94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5874FF22" w14:textId="77777777" w:rsidTr="000C496D">
        <w:trPr>
          <w:trHeight w:val="300"/>
        </w:trPr>
        <w:tc>
          <w:tcPr>
            <w:tcW w:w="6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D285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6367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7B7A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F34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160" w:type="dxa"/>
            <w:vAlign w:val="center"/>
            <w:hideMark/>
          </w:tcPr>
          <w:p w14:paraId="4BA6C8DF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C258BF" w14:textId="77777777" w:rsidR="000C496D" w:rsidRDefault="000C496D" w:rsidP="000C49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FDCC490" w14:textId="77777777" w:rsidR="000C496D" w:rsidRDefault="000C496D" w:rsidP="000C49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CE0A821" w14:textId="77777777" w:rsidR="00F1081A" w:rsidRDefault="00F1081A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06CDBC7" w14:textId="77777777" w:rsidR="00F1081A" w:rsidRDefault="00F1081A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B3842B4" w14:textId="77777777" w:rsidR="008E1EDB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</w:p>
    <w:p w14:paraId="2863C2F7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63B53D3" w14:textId="77777777" w:rsidR="008E1EDB" w:rsidRDefault="008E1EDB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D0B942C" w14:textId="77777777" w:rsidR="008E1EDB" w:rsidRDefault="008E1EDB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04069F9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22E5764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6DB5A50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82497BD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EDE14FC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8D7F3E6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FB464B1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687C59A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1B45C9E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F51F1AA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5B0DF8C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D7CE111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AD30F89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E07C3BF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AED7372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2729608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0F2A4E6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7ACC5EC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A31DBAE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5C58018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4D00969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C05E22E" w14:textId="77777777" w:rsidR="00291549" w:rsidRDefault="00291549" w:rsidP="00291549">
      <w:r>
        <w:br w:type="page"/>
      </w:r>
    </w:p>
    <w:p w14:paraId="78C2BACD" w14:textId="3EBA5B29" w:rsidR="00DE2888" w:rsidRDefault="00DE2888" w:rsidP="00291549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Załącznik nr 2 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do uchwały Nr X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LVI</w:t>
      </w:r>
      <w:r w:rsidR="00733AA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II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/4/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1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4 grudnia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 na rok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 w brzmieniu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nadanym w załączniku nr 2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 do uchwały nr XL</w:t>
      </w:r>
      <w:r w:rsidR="00733AA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IX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68619B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15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</w:t>
      </w:r>
      <w:r w:rsidR="00AE49AC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7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czerwca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n Regionu Leszczyńskiego na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.</w:t>
      </w:r>
    </w:p>
    <w:p w14:paraId="61853E3C" w14:textId="18E0BF6F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Plan wydatków </w:t>
      </w:r>
      <w:r w:rsidR="00B617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2024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825"/>
        <w:gridCol w:w="850"/>
        <w:gridCol w:w="4172"/>
        <w:gridCol w:w="1073"/>
        <w:gridCol w:w="931"/>
        <w:gridCol w:w="992"/>
      </w:tblGrid>
      <w:tr w:rsidR="000C496D" w:rsidRPr="000C496D" w14:paraId="5E64029F" w14:textId="77777777" w:rsidTr="00C435B5">
        <w:trPr>
          <w:trHeight w:val="492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836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94AF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DDE3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6369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9527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2024 przed zmianą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C320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960D0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2024 po zmianie</w:t>
            </w:r>
          </w:p>
        </w:tc>
      </w:tr>
      <w:tr w:rsidR="000C496D" w:rsidRPr="000C496D" w14:paraId="36D1CB48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DC57FBA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CC1E6F9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5C6C79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5E372E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1BBBE3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97 000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A7E1E74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362F80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100 000</w:t>
            </w:r>
          </w:p>
        </w:tc>
      </w:tr>
      <w:tr w:rsidR="000C496D" w:rsidRPr="000C496D" w14:paraId="4863EADC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05F8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70E6842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EC2831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72CF94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36306E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90CD96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CFC5C0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0C496D" w:rsidRPr="000C496D" w14:paraId="752DD201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5E419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555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F42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02B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3EC3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980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182B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0C496D" w:rsidRPr="000C496D" w14:paraId="669472B0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6CE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62D5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76E4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102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5D7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9783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3FCD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1CA3A18C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0B442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103E82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0F1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97 000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DD32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0A3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0C496D" w:rsidRPr="000C496D" w14:paraId="55B8E71A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28D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183AF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A73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BDBB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D2C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0C496D" w:rsidRPr="000C496D" w14:paraId="4D4215A0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6A81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27F2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265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D8125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4D9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A24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34E6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1B67F951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B446C32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AF7A889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A0958AC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39BB493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76B291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96 876 000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5135DD2" w14:textId="6FF477CD" w:rsidR="000C496D" w:rsidRPr="000C496D" w:rsidRDefault="00A461BE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2 624 000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30329D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99 500 000</w:t>
            </w:r>
          </w:p>
        </w:tc>
      </w:tr>
      <w:tr w:rsidR="000C496D" w:rsidRPr="000C496D" w14:paraId="3F31B8F8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4495A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10EF2F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58C9FF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EE1883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D339CB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96 876 000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010FB0A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2 624 000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67B9C8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99 500 000</w:t>
            </w:r>
          </w:p>
        </w:tc>
      </w:tr>
      <w:tr w:rsidR="000C496D" w:rsidRPr="000C496D" w14:paraId="5484DF2B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E393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644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8DF5F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33F3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BD57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BDBA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425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12 500</w:t>
            </w:r>
          </w:p>
        </w:tc>
      </w:tr>
      <w:tr w:rsidR="000C496D" w:rsidRPr="000C496D" w14:paraId="32057EE0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24D1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18D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7D37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504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8B28B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3 438 000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64BA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E2C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3 438 000</w:t>
            </w:r>
          </w:p>
        </w:tc>
      </w:tr>
      <w:tr w:rsidR="000C496D" w:rsidRPr="000C496D" w14:paraId="41916612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330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D98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B96E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AE8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ECE7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207 000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2EA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-7 656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8A5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199 344</w:t>
            </w:r>
          </w:p>
        </w:tc>
      </w:tr>
      <w:tr w:rsidR="000C496D" w:rsidRPr="000C496D" w14:paraId="75B30F12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5AB2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42FF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078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4BE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349D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613 800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4A47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FC6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613 800</w:t>
            </w:r>
          </w:p>
        </w:tc>
      </w:tr>
      <w:tr w:rsidR="000C496D" w:rsidRPr="000C496D" w14:paraId="4B65488D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183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E32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1BA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5A6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998E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D49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B78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87 000</w:t>
            </w:r>
          </w:p>
        </w:tc>
      </w:tr>
      <w:tr w:rsidR="000C496D" w:rsidRPr="000C496D" w14:paraId="57DEDA52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1DE5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09769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59F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CCE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F524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224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C12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0C496D" w:rsidRPr="000C496D" w14:paraId="32989A0C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5DD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04E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2542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260C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488BB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36D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A5D4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0C496D" w:rsidRPr="000C496D" w14:paraId="72DB19A8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84A5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6FF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BE75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47A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B820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470 300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19A4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113 000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6CE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583 300</w:t>
            </w:r>
          </w:p>
        </w:tc>
      </w:tr>
      <w:tr w:rsidR="000C496D" w:rsidRPr="000C496D" w14:paraId="615CBB8E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3B5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557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ABEA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EFE03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36FE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228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74C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2 000</w:t>
            </w:r>
          </w:p>
        </w:tc>
      </w:tr>
      <w:tr w:rsidR="000C496D" w:rsidRPr="000C496D" w14:paraId="2BA57153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23A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B60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395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A39F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F884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B34A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BAF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13 000</w:t>
            </w:r>
          </w:p>
        </w:tc>
      </w:tr>
      <w:tr w:rsidR="000C496D" w:rsidRPr="000C496D" w14:paraId="41B9B4B3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48E9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B842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9CD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787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65CB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EE3B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CA0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9 500</w:t>
            </w:r>
          </w:p>
        </w:tc>
      </w:tr>
      <w:tr w:rsidR="000C496D" w:rsidRPr="000C496D" w14:paraId="6619B689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082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47552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B5DE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EA86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FCF2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91 053 200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496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2 429 600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DFC0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93 482 800</w:t>
            </w:r>
          </w:p>
        </w:tc>
      </w:tr>
      <w:tr w:rsidR="000C496D" w:rsidRPr="000C496D" w14:paraId="0188BCA5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8F7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B9E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9B2F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04A2" w14:textId="77777777" w:rsidR="000C496D" w:rsidRPr="000C496D" w:rsidRDefault="000C496D" w:rsidP="000C49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29B48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C109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5F6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0C496D" w:rsidRPr="000C496D" w14:paraId="43B107C4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9C67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390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C256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A22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FB14B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153E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8D9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0C496D" w:rsidRPr="000C496D" w14:paraId="2E396372" w14:textId="77777777" w:rsidTr="00C435B5">
        <w:trPr>
          <w:trHeight w:val="492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B43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26F5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51A8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6CE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CAFB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407 437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B22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-14 944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7941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392 493</w:t>
            </w:r>
          </w:p>
        </w:tc>
      </w:tr>
      <w:tr w:rsidR="000C496D" w:rsidRPr="000C496D" w14:paraId="13EFCCA7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8C72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32F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A49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7EB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F4EA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37 700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650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D47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37 700</w:t>
            </w:r>
          </w:p>
        </w:tc>
      </w:tr>
      <w:tr w:rsidR="000C496D" w:rsidRPr="000C496D" w14:paraId="403F0943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E53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E11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2507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2B0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868D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A38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087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</w:tr>
      <w:tr w:rsidR="000C496D" w:rsidRPr="000C496D" w14:paraId="2C38A78F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1A3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B54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1DDB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50F2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22D7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32 200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974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4ED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32 200</w:t>
            </w:r>
          </w:p>
        </w:tc>
      </w:tr>
      <w:tr w:rsidR="000C496D" w:rsidRPr="000C496D" w14:paraId="12762DB8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0F2C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010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4F7A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C98C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9CB9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93 463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120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DE2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93 463</w:t>
            </w:r>
          </w:p>
        </w:tc>
      </w:tr>
      <w:tr w:rsidR="000C496D" w:rsidRPr="000C496D" w14:paraId="376B4487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B93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71B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4C6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CE5C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7745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198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ECB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</w:tr>
      <w:tr w:rsidR="000C496D" w:rsidRPr="000C496D" w14:paraId="1EDA4C81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BD0C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2C35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9C598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37F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6510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5AC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81B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</w:tr>
      <w:tr w:rsidR="000C496D" w:rsidRPr="000C496D" w14:paraId="18C99C9F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A53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EDBA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C6DF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2BB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8932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206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C69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15 700</w:t>
            </w:r>
          </w:p>
        </w:tc>
      </w:tr>
      <w:tr w:rsidR="000C496D" w:rsidRPr="000C496D" w14:paraId="4AAE4828" w14:textId="77777777" w:rsidTr="00C435B5">
        <w:trPr>
          <w:trHeight w:val="492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A4CB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D0D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7398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68BB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3B7F6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50CBE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AD9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40 000</w:t>
            </w:r>
          </w:p>
        </w:tc>
      </w:tr>
      <w:tr w:rsidR="000C496D" w:rsidRPr="000C496D" w14:paraId="7B4B5A80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2F94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FA7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AEDA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B231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DE93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3CD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F2D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0C496D" w:rsidRPr="000C496D" w14:paraId="0202A990" w14:textId="77777777" w:rsidTr="00C435B5">
        <w:trPr>
          <w:trHeight w:val="732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BE17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E9D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BE0F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CB09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- realizacja monitoringu wizyjnego w miejscach gromadzenia odpadów w miejscowości Cichowo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3E78B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80 000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A013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FE4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86 000</w:t>
            </w:r>
          </w:p>
        </w:tc>
      </w:tr>
      <w:tr w:rsidR="000C496D" w:rsidRPr="000C496D" w14:paraId="5C845803" w14:textId="77777777" w:rsidTr="00C435B5">
        <w:trPr>
          <w:trHeight w:val="97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9C88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CF1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AAE34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70D8" w14:textId="77777777" w:rsid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</w:t>
            </w:r>
          </w:p>
          <w:p w14:paraId="5759E7D7" w14:textId="018E1BD9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 zakup urządzeń na małe elektroodpady (</w:t>
            </w:r>
            <w:r w:rsidR="00067A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terenow</w:t>
            </w:r>
            <w:r w:rsidR="00AC7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</w:t>
            </w:r>
            <w:r w:rsidR="00067A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infrastruktur</w:t>
            </w:r>
            <w:r w:rsidR="00AC7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</w:t>
            </w: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edukacyjn</w:t>
            </w:r>
            <w:r w:rsidR="00AC7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 </w:t>
            </w: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Komunalnego Związku Gmin Regionu Leszczyńskiego")                                                                        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012FA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BB9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6CB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198 000</w:t>
            </w:r>
          </w:p>
        </w:tc>
      </w:tr>
      <w:tr w:rsidR="000C496D" w:rsidRPr="000C496D" w14:paraId="3A270167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649F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196D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597D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0A0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341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1AC4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A4D4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96D" w:rsidRPr="000C496D" w14:paraId="514089B1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A297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329F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8C0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96 696 000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B0F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2 520 000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45F81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99 216 000</w:t>
            </w:r>
          </w:p>
        </w:tc>
      </w:tr>
      <w:tr w:rsidR="000C496D" w:rsidRPr="000C496D" w14:paraId="152BD191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1D20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3D210C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D40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D8F5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E794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284 000</w:t>
            </w:r>
          </w:p>
        </w:tc>
      </w:tr>
      <w:tr w:rsidR="000C496D" w:rsidRPr="000C496D" w14:paraId="2DD90347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660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2A1C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725A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C0B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A133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0C00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A2F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96D" w:rsidRPr="000C496D" w14:paraId="680E56FB" w14:textId="77777777" w:rsidTr="00C435B5">
        <w:trPr>
          <w:trHeight w:val="300"/>
        </w:trPr>
        <w:tc>
          <w:tcPr>
            <w:tcW w:w="6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795F8B5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1716C8F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96 973 000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75E8FC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2 627 000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1BE995C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99 600 000</w:t>
            </w:r>
          </w:p>
        </w:tc>
      </w:tr>
      <w:tr w:rsidR="000C496D" w:rsidRPr="000C496D" w14:paraId="1CC96669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BEF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7A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00B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1FD5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266A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9E5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0AC7" w14:textId="77777777" w:rsidR="000C496D" w:rsidRPr="000C496D" w:rsidRDefault="000C496D" w:rsidP="000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96D" w:rsidRPr="000C496D" w14:paraId="0430CBD1" w14:textId="77777777" w:rsidTr="00C435B5">
        <w:trPr>
          <w:trHeight w:val="300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961E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E042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D409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96 793 000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39E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2 523 000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5A10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99 316 000</w:t>
            </w:r>
          </w:p>
        </w:tc>
      </w:tr>
      <w:tr w:rsidR="000C496D" w:rsidRPr="000C496D" w14:paraId="2CC6438E" w14:textId="77777777" w:rsidTr="00C435B5">
        <w:trPr>
          <w:trHeight w:val="3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C6A6" w14:textId="77777777" w:rsidR="000C496D" w:rsidRPr="000C496D" w:rsidRDefault="000C496D" w:rsidP="000C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CB136" w14:textId="77777777" w:rsidR="000C496D" w:rsidRPr="000C496D" w:rsidRDefault="000C496D" w:rsidP="000C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3577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EFB2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54DD" w14:textId="77777777" w:rsidR="000C496D" w:rsidRPr="000C496D" w:rsidRDefault="000C496D" w:rsidP="000C4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9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284 000</w:t>
            </w:r>
          </w:p>
        </w:tc>
      </w:tr>
    </w:tbl>
    <w:p w14:paraId="575268F8" w14:textId="77777777" w:rsidR="000C496D" w:rsidRDefault="000C496D" w:rsidP="000C496D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9600CD5" w14:textId="77777777" w:rsidR="000C496D" w:rsidRDefault="000C496D" w:rsidP="000C496D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2A97A67" w14:textId="77777777" w:rsidR="000C496D" w:rsidRDefault="000C496D" w:rsidP="000C496D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4F9B1C5" w14:textId="77777777" w:rsidR="000C496D" w:rsidRDefault="000C496D" w:rsidP="000C496D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C0FD830" w14:textId="77777777" w:rsidR="00DE2888" w:rsidRDefault="00DE2888" w:rsidP="00DE2888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6E576FE" w14:textId="77777777" w:rsidR="00DE2888" w:rsidRDefault="00DE2888" w:rsidP="00DE2888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C12A1AC" w14:textId="77777777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1D1348C" w14:textId="77777777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1D9E2D0" w14:textId="77777777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9CA1BF2" w14:textId="77777777" w:rsidR="00291549" w:rsidRDefault="00291549" w:rsidP="00291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FE1C99C" w14:textId="77777777" w:rsidR="000C496D" w:rsidRDefault="000C496D">
      <w:pPr>
        <w:spacing w:after="200" w:line="276" w:lineRule="auto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  <w:br w:type="page"/>
      </w:r>
    </w:p>
    <w:p w14:paraId="48AC5894" w14:textId="377FE0DA" w:rsidR="00291549" w:rsidRPr="00754F56" w:rsidRDefault="00291549" w:rsidP="0029154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16CF048E" w14:textId="5AD0C45D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do </w:t>
      </w:r>
      <w:r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Uchwały Nr XL</w:t>
      </w:r>
      <w:r w:rsidR="00733AA7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IX</w:t>
      </w:r>
      <w:r w:rsidR="005E22FA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/</w:t>
      </w:r>
      <w:r w:rsidR="0068619B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15</w:t>
      </w:r>
      <w:r w:rsidR="00DE288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/</w:t>
      </w:r>
      <w:r w:rsidR="00B6173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2024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Zgromadzenia Związku Międzygminnego</w:t>
      </w:r>
    </w:p>
    <w:p w14:paraId="1EEE6673" w14:textId="0BB9424C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„Komunalny Związek Gmin Regionu Leszczyńskiego” z dnia </w:t>
      </w:r>
      <w:r w:rsidR="00AE49AC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7</w:t>
      </w:r>
      <w:r w:rsidR="005E22FA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czerwca </w:t>
      </w:r>
      <w:r w:rsidR="00B6173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2024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r. w sprawie zmiany uchwały budżetowej Komunalnego Związku Gmi</w:t>
      </w:r>
      <w:r w:rsidR="00DE288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n Regionu Leszczyńskiego na </w:t>
      </w:r>
      <w:r w:rsidR="00B6173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2024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rok.</w:t>
      </w:r>
    </w:p>
    <w:p w14:paraId="3ADCF95C" w14:textId="77777777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4A56FF02" w14:textId="03BED91C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</w:t>
      </w:r>
      <w:r w:rsidR="005E22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ionu Leszczyńskiego” na rok 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2024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, której uzasadnienie przedstawia poniżej.</w:t>
      </w:r>
    </w:p>
    <w:p w14:paraId="0681DF99" w14:textId="77777777" w:rsidR="00291549" w:rsidRPr="0099645D" w:rsidRDefault="00291549" w:rsidP="00291549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I. Dokonano zmiany w budżecie Związku Międzygminnego Komunalny Związek Gmin Regionu Leszczyńskiego po stronie dochodów, z tego: </w:t>
      </w:r>
    </w:p>
    <w:p w14:paraId="3F6BAB54" w14:textId="05503913" w:rsidR="00291549" w:rsidRPr="0099645D" w:rsidRDefault="00291549" w:rsidP="00291549">
      <w:pPr>
        <w:autoSpaceDE w:val="0"/>
        <w:autoSpaceDN w:val="0"/>
        <w:adjustRightInd w:val="0"/>
        <w:spacing w:after="0" w:line="251" w:lineRule="auto"/>
        <w:ind w:firstLine="720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1) Dochody bieżące w kwocie </w:t>
      </w:r>
      <w:r w:rsidR="000C496D">
        <w:rPr>
          <w:rFonts w:eastAsia="Times New Roman" w:cstheme="minorHAnsi"/>
          <w:color w:val="000000"/>
          <w:shd w:val="clear" w:color="auto" w:fill="FFFFFF"/>
          <w:lang w:eastAsia="pl-PL"/>
        </w:rPr>
        <w:t>91.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="000C496D">
        <w:rPr>
          <w:rFonts w:eastAsia="Times New Roman" w:cstheme="minorHAnsi"/>
          <w:color w:val="000000"/>
          <w:shd w:val="clear" w:color="auto" w:fill="FFFFFF"/>
          <w:lang w:eastAsia="pl-PL"/>
        </w:rPr>
        <w:t>81.000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</w:p>
    <w:p w14:paraId="20987894" w14:textId="378D58F8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</w:t>
      </w:r>
      <w:r w:rsidR="00DE2888">
        <w:rPr>
          <w:rFonts w:eastAsia="Times New Roman" w:cstheme="minorHAnsi"/>
          <w:color w:val="000000"/>
          <w:shd w:val="clear" w:color="auto" w:fill="FFFFFF"/>
          <w:lang w:eastAsia="pl-PL"/>
        </w:rPr>
        <w:t>8</w:t>
      </w:r>
      <w:r w:rsidR="000C496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9.052.000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5F0B9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2.529.000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>91.581.000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14:paraId="14568F0C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57BA8B8F" w14:textId="1A3CB536" w:rsidR="00291549" w:rsidRPr="0099645D" w:rsidRDefault="00291549" w:rsidP="005074F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758 rozdz. 75814 par. 0920 (wpływy z pozostałych odsetek) zwiększenie o kwotę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>400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 zł w związku z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>o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</w:t>
      </w:r>
      <w:r w:rsidR="005074F1">
        <w:rPr>
          <w:rFonts w:eastAsia="Times New Roman" w:cstheme="minorHAnsi"/>
          <w:color w:val="000000"/>
          <w:shd w:val="clear" w:color="auto" w:fill="FFFFFF"/>
          <w:lang w:eastAsia="pl-PL"/>
        </w:rPr>
        <w:t>rocentowaniem lokat bankowych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na poziomie wyższym niż zakładano na koniec 2023r.</w:t>
      </w:r>
      <w:r w:rsidR="005074F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</w:p>
    <w:p w14:paraId="56366158" w14:textId="12A4D90D" w:rsidR="003A7A8E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>490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(wpływy z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innych lokalnych opłat pobieranych przez jednostki samorządu terytorialnego na podstawie odrębnych ustaw)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zwiększenie o kwotę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1.944.500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w związku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>z nasileniem działań kontrolnych i windykacyjnych w I półrocz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>u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br. 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Działania organów egzekucyjnych (Urzędy Skarbowe, komornicy) spowodowały, że wpływy z tytułu zaległych opłat za gospodarowanie odpadami komunalnymi uległy poprawie. Do maja 2024r. Urzędy Skarbowe i komornicy dokonali na rachunek bankowy KZGRL wpłat w kwocie ponad 1.200.000zł. 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>Na dokonane zmiany w planowanych dochodach wpłynęła również zwiększona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liczb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osób zobowiązanych do ponoszenia ww. opłaty, które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po przeprowadzonych działaniach kontrolnych 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>zobowiązane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zostały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złożenia deklaracji bądź na które wystawiona została decyzja określająca wysokość opłaty.</w:t>
      </w:r>
    </w:p>
    <w:p w14:paraId="606F34D0" w14:textId="185B0137" w:rsidR="005074F1" w:rsidRPr="0099645D" w:rsidRDefault="005074F1" w:rsidP="005074F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par. 09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0 (</w:t>
      </w:r>
      <w:r w:rsidR="004435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wpływy z rozliczeń/zwrotów z lat u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biegłych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) zwiększenie o kwotę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1.400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4C3BFF">
        <w:rPr>
          <w:rFonts w:eastAsia="Times New Roman" w:cstheme="minorHAnsi"/>
          <w:color w:val="000000"/>
          <w:shd w:val="clear" w:color="auto" w:fill="FFFFFF"/>
          <w:lang w:eastAsia="pl-PL"/>
        </w:rPr>
        <w:t>celem aktualizacji budżetu,</w:t>
      </w:r>
    </w:p>
    <w:p w14:paraId="3893AC3F" w14:textId="4A1838E4" w:rsidR="004C3BFF" w:rsidRDefault="004C3BFF" w:rsidP="004C3BF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0950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(wpływy z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tytułu kar i odszkodowań wynikających z umów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wprowadzenie do planu dochodów kwoty 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100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 otrzymaniem odszkodowania z Poczty Polskiej,</w:t>
      </w:r>
    </w:p>
    <w:p w14:paraId="1443D21E" w14:textId="011C6DB2" w:rsidR="004C3BFF" w:rsidRDefault="004C3BFF" w:rsidP="004C3BF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90026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2460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środki otrzymane od pozostałych jednostek zaliczanych do sektora finansów publicznych na realizację zadań bieżących jednostek zaliczanych do sektora finansów publicznych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)</w:t>
      </w:r>
      <w:r w:rsidR="00BA4FB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wprowadzenie do planu dochodów kwoty </w:t>
      </w:r>
      <w:r w:rsidR="005E22FA">
        <w:rPr>
          <w:rFonts w:eastAsia="Times New Roman" w:cstheme="minorHAnsi"/>
          <w:color w:val="000000"/>
          <w:shd w:val="clear" w:color="auto" w:fill="FFFFFF"/>
          <w:lang w:eastAsia="pl-PL"/>
        </w:rPr>
        <w:t>1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83.000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 przyznaniem </w:t>
      </w:r>
      <w:r w:rsidR="001208F5">
        <w:rPr>
          <w:rFonts w:eastAsia="Times New Roman" w:cstheme="minorHAnsi"/>
          <w:color w:val="000000"/>
          <w:shd w:val="clear" w:color="auto" w:fill="FFFFFF"/>
          <w:lang w:eastAsia="pl-PL"/>
        </w:rPr>
        <w:t>środków finansowych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Wojewódzkiego Funduszu Ochrony Środowiska i Gospodarki Wodnej na zadania związane z prowadzeniem edukacji ekologicznej, w tym:</w:t>
      </w:r>
    </w:p>
    <w:p w14:paraId="275F0C0E" w14:textId="18044756" w:rsidR="005E22FA" w:rsidRDefault="005E22FA" w:rsidP="005E22FA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Podnoszenie świadomości ekologicznej mieszkańców Komunalnego Związku Gmin Regionu Leszczyńskiego 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–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druk wydawnictw edukacyjnych, produkcja audycji radiowych, zakup pomocy dydaktycznych i sprzętu - p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rzyznana kwota – 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113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.000 zł,</w:t>
      </w:r>
    </w:p>
    <w:p w14:paraId="40F3CE2C" w14:textId="519B2244" w:rsidR="00443549" w:rsidRDefault="00443549" w:rsidP="005E22FA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Upowszechnianie wiedzy ekologicznej dzieci i młodzieży z terenu Komunalnego Związku Gmin Regionu Leszczyńskiego w zakresie odpadów komunalnych poprzez spektakle teatralne, warsztaty i konkurs – przyznana kwota – 70.000 zł</w:t>
      </w:r>
    </w:p>
    <w:p w14:paraId="045E42A4" w14:textId="77777777" w:rsidR="005E22FA" w:rsidRDefault="005E22FA" w:rsidP="001208F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F2F40FB" w14:textId="586808B5" w:rsidR="00291549" w:rsidRPr="00951467" w:rsidRDefault="00291549" w:rsidP="001208F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2) Dochody majątkowe w kwocie </w:t>
      </w:r>
      <w:r w:rsidR="005E22FA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</w:t>
      </w:r>
      <w:r w:rsidR="00443549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8</w:t>
      </w:r>
      <w:r w:rsidR="005E22FA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 </w:t>
      </w:r>
    </w:p>
    <w:p w14:paraId="42DCA7E3" w14:textId="2E9C660F" w:rsidR="005E22FA" w:rsidRPr="00951467" w:rsidRDefault="005E22FA" w:rsidP="005E22F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0 zł 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9</w:t>
      </w:r>
      <w:r w:rsidR="00443549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8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9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8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.000 zł)</w:t>
      </w:r>
    </w:p>
    <w:p w14:paraId="26218CFA" w14:textId="77777777" w:rsidR="005E22FA" w:rsidRPr="00951467" w:rsidRDefault="005E22FA" w:rsidP="005E22F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702A20AB" w14:textId="5619826D" w:rsidR="001208F5" w:rsidRDefault="001208F5" w:rsidP="001208F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6280 (</w:t>
      </w:r>
      <w:r w:rsidRPr="00951467">
        <w:rPr>
          <w:rFonts w:ascii="Calibri" w:eastAsia="Times New Roman" w:hAnsi="Calibri" w:cs="Calibri"/>
          <w:color w:val="000000"/>
          <w:lang w:eastAsia="pl-PL"/>
        </w:rPr>
        <w:t>Środki otrzymane od pozostałych jednostek zaliczanych do sektora finansów publicznych na finansowanie lub dofinansowanie kosztów realizacji inwestycji i zakupów inwestycyjnych jednostek zaliczanych do sektora finansów publicznych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wprowadzenie do planu dochodów kwoty </w:t>
      </w:r>
      <w:r w:rsidR="00951467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9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8</w:t>
      </w:r>
      <w:r w:rsidR="00951467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.000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 przyznaniem środków finansowych z Wojewódzkiego Funduszu Ochrony Środowiska i Gospodarki Wodnej na zadania związane z prowadzeniem edukacji ekologicznej, w tym:</w:t>
      </w:r>
    </w:p>
    <w:p w14:paraId="1B3435C3" w14:textId="5D1DE387" w:rsidR="00951467" w:rsidRDefault="00951467" w:rsidP="00951467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T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erenow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infrastruktur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edukacyj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n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Komunalnego Związku Gmin Regionu Leszczyńskiego</w:t>
      </w:r>
      <w:r w:rsidR="00BA4FB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– 9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8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.000zł</w:t>
      </w:r>
    </w:p>
    <w:p w14:paraId="3CFF3436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582C234" w14:textId="4CF68CB9" w:rsidR="00291549" w:rsidRPr="0099645D" w:rsidRDefault="00291549" w:rsidP="00291549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dochodów budżetu w wysokości </w:t>
      </w:r>
      <w:r w:rsidR="00443549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91.679.000</w:t>
      </w: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14:paraId="2460FC6A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II. Dokonano zmiany w budżecie Związku Międzygminnego Komunalny Związek Gmin Regionu Leszczyńskiego po stronie wydatków, z tego: </w:t>
      </w:r>
    </w:p>
    <w:p w14:paraId="37C038D6" w14:textId="15CF0359" w:rsidR="00291549" w:rsidRPr="0099645D" w:rsidRDefault="00291549" w:rsidP="00291549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bieżące w kwocie </w:t>
      </w:r>
      <w:r w:rsidR="00443549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99.316</w:t>
      </w:r>
      <w:r w:rsid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</w:p>
    <w:p w14:paraId="64514AC6" w14:textId="08496FF0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 z kwoty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>96.793.000</w:t>
      </w:r>
      <w:r w:rsid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27243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2.523</w:t>
      </w:r>
      <w:r w:rsid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>99.316.</w:t>
      </w:r>
      <w:r w:rsidR="00951467">
        <w:rPr>
          <w:rFonts w:eastAsia="Times New Roman" w:cstheme="minorHAnsi"/>
          <w:color w:val="000000"/>
          <w:shd w:val="clear" w:color="auto" w:fill="FFFFFF"/>
          <w:lang w:eastAsia="pl-PL"/>
        </w:rPr>
        <w:t>000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 </w:t>
      </w:r>
    </w:p>
    <w:p w14:paraId="1DAE7063" w14:textId="77777777" w:rsidR="00291549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14:paraId="4FF7C2AF" w14:textId="7B236338" w:rsidR="0027243F" w:rsidRPr="0099645D" w:rsidRDefault="0027243F" w:rsidP="0027243F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758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rozdz.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75818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4810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rezerwy)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zwiększe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nie o kwotę 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.000 zł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stosownie do zmiany wysokości planu wydatków na 202</w:t>
      </w:r>
      <w:r w:rsidR="00C435B5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4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r. Zgodnie z art. 222 ust. 1 ustawy o finansach publicznych „</w:t>
      </w:r>
      <w:r>
        <w:rPr>
          <w:sz w:val="23"/>
          <w:szCs w:val="23"/>
        </w:rPr>
        <w:t>W budżecie jednostki samorządu terytorialnego tworzy się rezerwę ogólną, w wysokości nie niższej niż 0,1% i nie wyższej niż 1% wydatków budżetu</w:t>
      </w:r>
      <w:r w:rsidR="00803E2B">
        <w:rPr>
          <w:sz w:val="23"/>
          <w:szCs w:val="23"/>
        </w:rPr>
        <w:t>”</w:t>
      </w:r>
      <w:r>
        <w:rPr>
          <w:sz w:val="23"/>
          <w:szCs w:val="23"/>
        </w:rPr>
        <w:t>,</w:t>
      </w:r>
    </w:p>
    <w:p w14:paraId="481A535E" w14:textId="7D947C15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0" w:name="_Hlk167102964"/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4210 (zakup materiałów i wyposażenia) zwiększe</w:t>
      </w:r>
      <w:r w:rsidR="00C21EB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nie o kwotę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>113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 zł na zakup materiałów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>z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wiązanych z edukacją ekologiczną</w:t>
      </w:r>
      <w:r w:rsidR="00357DE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 związku z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>przyznaniem ś</w:t>
      </w:r>
      <w:r w:rsidR="00357DE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rodków finansowych z </w:t>
      </w:r>
      <w:proofErr w:type="spellStart"/>
      <w:r w:rsidR="00357DE3">
        <w:rPr>
          <w:rFonts w:eastAsia="Times New Roman" w:cstheme="minorHAnsi"/>
          <w:color w:val="000000"/>
          <w:shd w:val="clear" w:color="auto" w:fill="FFFFFF"/>
          <w:lang w:eastAsia="pl-PL"/>
        </w:rPr>
        <w:t>WFOŚiGW</w:t>
      </w:r>
      <w:proofErr w:type="spellEnd"/>
      <w:r w:rsidR="00357DE3">
        <w:rPr>
          <w:rFonts w:eastAsia="Times New Roman" w:cstheme="minorHAnsi"/>
          <w:color w:val="000000"/>
          <w:shd w:val="clear" w:color="auto" w:fill="FFFFFF"/>
          <w:lang w:eastAsia="pl-PL"/>
        </w:rPr>
        <w:t>)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bookmarkEnd w:id="0"/>
    <w:p w14:paraId="34FD08FA" w14:textId="1001D1BA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4300 (zakup usług pozostałych) zwiększenie o kwotę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>2.429.600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związku z koniecznością zwiększenia limitu przedsięwzięć realizowanych w 2024r. </w:t>
      </w:r>
      <w:r w:rsidR="00C435B5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zakresu </w:t>
      </w:r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>gospodark</w:t>
      </w:r>
      <w:r w:rsidR="00C435B5">
        <w:rPr>
          <w:rFonts w:eastAsia="Times New Roman" w:cstheme="minorHAnsi"/>
          <w:color w:val="000000"/>
          <w:shd w:val="clear" w:color="auto" w:fill="FFFFFF"/>
          <w:lang w:eastAsia="pl-PL"/>
        </w:rPr>
        <w:t>i</w:t>
      </w:r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odpadami komunalnymi (kwota 2.359.600 zł) oraz na zakup usług związanych z edukacją ekologiczną w związku z przyznaniem środków z </w:t>
      </w:r>
      <w:proofErr w:type="spellStart"/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>WFOŚiGW</w:t>
      </w:r>
      <w:proofErr w:type="spellEnd"/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(kwota 70.000 zł). </w:t>
      </w:r>
    </w:p>
    <w:p w14:paraId="54D808F7" w14:textId="77777777" w:rsidR="00291549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bieżących (celem aktualizacji budżetu) w następujących paragrafach klasyfikacji budżetowej:</w:t>
      </w:r>
    </w:p>
    <w:p w14:paraId="7EDCC09F" w14:textId="5B11D766" w:rsidR="00291549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4040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dodatkowe wynagrodzenie roczne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) zmnie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jszenie o kwotę </w:t>
      </w:r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>7.656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stosowanie do wykonanych wydatków na ten cel w 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2024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.,</w:t>
      </w:r>
    </w:p>
    <w:p w14:paraId="75D68C3E" w14:textId="7487F357" w:rsidR="00F924EB" w:rsidRPr="0099645D" w:rsidRDefault="00F924EB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</w:t>
      </w:r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>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0 (</w:t>
      </w:r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opłaty za administrowanie i czynsze za budynki, lokale i pomieszczenia garażowe) zmniejszenie o kwotę 14.944zł celem aktualizacji budżetu.  </w:t>
      </w:r>
    </w:p>
    <w:p w14:paraId="42CF29B9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0807A25" w14:textId="4E3EABF2" w:rsidR="00291549" w:rsidRPr="00951467" w:rsidRDefault="00291549" w:rsidP="00291549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majątkowe w kwocie </w:t>
      </w:r>
      <w:r w:rsidR="00893589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284</w:t>
      </w:r>
      <w:r w:rsidR="00951467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7BDAB268" w14:textId="59B1AB91" w:rsidR="00291549" w:rsidRPr="00951467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</w:t>
      </w:r>
      <w:r w:rsidR="00951467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większenie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</w:t>
      </w:r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>180</w:t>
      </w:r>
      <w:r w:rsidR="00951467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.000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893589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104</w:t>
      </w:r>
      <w:r w:rsidR="00951467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893589">
        <w:rPr>
          <w:rFonts w:eastAsia="Times New Roman" w:cstheme="minorHAnsi"/>
          <w:color w:val="000000"/>
          <w:shd w:val="clear" w:color="auto" w:fill="FFFFFF"/>
          <w:lang w:eastAsia="pl-PL"/>
        </w:rPr>
        <w:t>284</w:t>
      </w:r>
      <w:r w:rsidR="00951467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.000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14:paraId="0FFB3F3D" w14:textId="77777777" w:rsidR="00291549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</w:t>
      </w:r>
      <w:r w:rsidR="00951467"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większeniu</w:t>
      </w: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 planowanych wydatków w następujących paragrafach klasyfikacji budżetowej:</w:t>
      </w:r>
    </w:p>
    <w:p w14:paraId="3A12CE1E" w14:textId="1FCEC355" w:rsidR="00067AF6" w:rsidRDefault="00893589" w:rsidP="0095146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0 (wydatki inwestycyjne jednostek budżetowych) zwiększenie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6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.000zł planowanych wydatków na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realizację monitoringu wizyjnego w miejscach gromadzenia odpadów w miejscowości Cichowo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związku z wystąpieniem prac dodatkowych,</w:t>
      </w:r>
    </w:p>
    <w:p w14:paraId="34B5B997" w14:textId="0C9A7775" w:rsidR="00291549" w:rsidRPr="0099645D" w:rsidRDefault="00951467" w:rsidP="0095146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1" w:name="_Hlk167104011"/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606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0 (wydatki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zakupy 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inwestycyjne jednostek budżetowych) z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większenie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 kwotę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9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>8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.000zł planowanych wydatków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zakupy inwestycyjne jednostek budżetowych z przeznaczeniem 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>terenow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infrastruktur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ę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edukacyjn</w:t>
      </w:r>
      <w:bookmarkEnd w:id="1"/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Komunalnego Związku Gmin Regionu Leszczyńskiego – zakup urządzeń na małe elektroodpady (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związku z przyznaniem środków finansowych </w:t>
      </w:r>
      <w:proofErr w:type="spellStart"/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WFOŚiGW</w:t>
      </w:r>
      <w:proofErr w:type="spellEnd"/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).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4A11A362" w14:textId="77777777" w:rsidR="0096224F" w:rsidRPr="0096224F" w:rsidRDefault="0096224F" w:rsidP="00291549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Cs/>
          <w:color w:val="000000"/>
          <w:shd w:val="clear" w:color="auto" w:fill="FFFFFF"/>
          <w:lang w:eastAsia="pl-PL"/>
        </w:rPr>
      </w:pPr>
    </w:p>
    <w:p w14:paraId="21B5D5F2" w14:textId="0C279DBF" w:rsidR="00291549" w:rsidRPr="0099645D" w:rsidRDefault="00291549" w:rsidP="00291549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wydatków budżetu w wysokości </w:t>
      </w:r>
      <w:r w:rsidR="00067AF6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99.600.000</w:t>
      </w: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14:paraId="57DD7B9B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66DBC937" w14:textId="07408BE5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Pozostałe wytyczne budżetu Komunalnego Związku Gmin Re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gionu Leszczyńskiego na rok 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2024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przyjętego Uchwałą Nr XLVI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>II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/4/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Zgromadzenia Związku Międzygminnego „Komunalny Związek Gmin Regionu Leszczyńskiego” z dnia 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14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grudnia 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 pozostały bez zmian.</w:t>
      </w:r>
    </w:p>
    <w:p w14:paraId="18C33001" w14:textId="77777777" w:rsidR="00291549" w:rsidRPr="0099645D" w:rsidRDefault="00291549" w:rsidP="00291549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 uwagi na powyższe Zgromadzenie Związku Międzygminnego „Komunalny Związek Gmin Regionu Leszczyńskiego” uznało za zasadne podjęcie niniejszej uchwały.</w:t>
      </w:r>
    </w:p>
    <w:p w14:paraId="34651BC4" w14:textId="77777777" w:rsidR="00F85616" w:rsidRDefault="00F85616"/>
    <w:sectPr w:rsidR="00F8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num w:numId="1" w16cid:durableId="46127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49"/>
    <w:rsid w:val="000225FF"/>
    <w:rsid w:val="00043919"/>
    <w:rsid w:val="00067AF6"/>
    <w:rsid w:val="000C496D"/>
    <w:rsid w:val="00110B6D"/>
    <w:rsid w:val="001208F5"/>
    <w:rsid w:val="001A774F"/>
    <w:rsid w:val="001E4E3C"/>
    <w:rsid w:val="00267DAC"/>
    <w:rsid w:val="0027243F"/>
    <w:rsid w:val="00291549"/>
    <w:rsid w:val="00357DE3"/>
    <w:rsid w:val="003A7A8E"/>
    <w:rsid w:val="00435D40"/>
    <w:rsid w:val="00443549"/>
    <w:rsid w:val="004C3BFF"/>
    <w:rsid w:val="005074F1"/>
    <w:rsid w:val="0058739F"/>
    <w:rsid w:val="005E22FA"/>
    <w:rsid w:val="005F0B9A"/>
    <w:rsid w:val="00604567"/>
    <w:rsid w:val="00661B4F"/>
    <w:rsid w:val="0068619B"/>
    <w:rsid w:val="006A74BA"/>
    <w:rsid w:val="00733AA7"/>
    <w:rsid w:val="007D65F5"/>
    <w:rsid w:val="00803921"/>
    <w:rsid w:val="00803E2B"/>
    <w:rsid w:val="00893589"/>
    <w:rsid w:val="008E1EDB"/>
    <w:rsid w:val="00951467"/>
    <w:rsid w:val="0096224F"/>
    <w:rsid w:val="00A04E6C"/>
    <w:rsid w:val="00A461BE"/>
    <w:rsid w:val="00AC77E2"/>
    <w:rsid w:val="00AE49AC"/>
    <w:rsid w:val="00B36A70"/>
    <w:rsid w:val="00B61738"/>
    <w:rsid w:val="00BA4FB4"/>
    <w:rsid w:val="00BB5ADA"/>
    <w:rsid w:val="00BB756F"/>
    <w:rsid w:val="00C21EBC"/>
    <w:rsid w:val="00C41D09"/>
    <w:rsid w:val="00C435B5"/>
    <w:rsid w:val="00CE5466"/>
    <w:rsid w:val="00DE2888"/>
    <w:rsid w:val="00F1081A"/>
    <w:rsid w:val="00F10BC1"/>
    <w:rsid w:val="00F85616"/>
    <w:rsid w:val="00F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B29C"/>
  <w15:docId w15:val="{F37657EF-6460-4F43-9A23-03E0734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291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2179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10</cp:revision>
  <cp:lastPrinted>2024-05-24T09:02:00Z</cp:lastPrinted>
  <dcterms:created xsi:type="dcterms:W3CDTF">2024-05-24T11:49:00Z</dcterms:created>
  <dcterms:modified xsi:type="dcterms:W3CDTF">2024-06-07T12:32:00Z</dcterms:modified>
</cp:coreProperties>
</file>